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AAA34" w14:textId="77777777" w:rsidR="00C25564" w:rsidRDefault="00C25564" w:rsidP="00003EF6">
      <w:pPr>
        <w:pStyle w:val="Heading1"/>
        <w:jc w:val="center"/>
      </w:pPr>
    </w:p>
    <w:p w14:paraId="727738A0" w14:textId="2C8DDC56" w:rsidR="00003EF6" w:rsidRDefault="00003EF6" w:rsidP="00003EF6">
      <w:pPr>
        <w:pStyle w:val="Heading1"/>
        <w:jc w:val="center"/>
      </w:pPr>
      <w:r>
        <w:t xml:space="preserve">RESPONSE </w:t>
      </w:r>
    </w:p>
    <w:p w14:paraId="62C4564C" w14:textId="77777777" w:rsidR="00003EF6" w:rsidRDefault="00003EF6" w:rsidP="00003EF6">
      <w:pPr>
        <w:jc w:val="center"/>
        <w:rPr>
          <w:b/>
          <w:bCs/>
        </w:rPr>
      </w:pPr>
      <w:r>
        <w:rPr>
          <w:b/>
          <w:bCs/>
        </w:rPr>
        <w:t>by</w:t>
      </w:r>
    </w:p>
    <w:p w14:paraId="212F8B56" w14:textId="77777777" w:rsidR="00003EF6" w:rsidRDefault="00003EF6" w:rsidP="00003EF6">
      <w:pPr>
        <w:jc w:val="center"/>
        <w:rPr>
          <w:b/>
          <w:bCs/>
        </w:rPr>
      </w:pPr>
      <w:r>
        <w:rPr>
          <w:b/>
          <w:bCs/>
        </w:rPr>
        <w:t>FACULTY OF ADVOCATES</w:t>
      </w:r>
    </w:p>
    <w:p w14:paraId="38012108" w14:textId="77777777" w:rsidR="00003EF6" w:rsidRDefault="00003EF6" w:rsidP="00003EF6">
      <w:pPr>
        <w:jc w:val="center"/>
        <w:rPr>
          <w:b/>
          <w:bCs/>
        </w:rPr>
      </w:pPr>
      <w:r>
        <w:rPr>
          <w:b/>
          <w:bCs/>
        </w:rPr>
        <w:t>to</w:t>
      </w:r>
    </w:p>
    <w:p w14:paraId="1E5D11FD" w14:textId="51239394" w:rsidR="00003EF6" w:rsidRDefault="00003EF6" w:rsidP="00003EF6">
      <w:pPr>
        <w:pStyle w:val="Heading3"/>
      </w:pPr>
      <w:r>
        <w:t>SCOTTISH GOVERNMENT</w:t>
      </w:r>
    </w:p>
    <w:p w14:paraId="7387E7D4" w14:textId="77777777" w:rsidR="00003EF6" w:rsidRDefault="00003EF6" w:rsidP="00003EF6">
      <w:pPr>
        <w:jc w:val="center"/>
        <w:rPr>
          <w:b/>
          <w:bCs/>
        </w:rPr>
      </w:pPr>
      <w:r>
        <w:rPr>
          <w:b/>
          <w:bCs/>
        </w:rPr>
        <w:t>on</w:t>
      </w:r>
    </w:p>
    <w:p w14:paraId="305DC962" w14:textId="6B3E959E" w:rsidR="00003EF6" w:rsidRPr="00003EF6" w:rsidRDefault="00003EF6" w:rsidP="00003EF6">
      <w:pPr>
        <w:pBdr>
          <w:bottom w:val="single" w:sz="12" w:space="1" w:color="auto"/>
        </w:pBdr>
        <w:jc w:val="center"/>
        <w:rPr>
          <w:b/>
        </w:rPr>
      </w:pPr>
      <w:r w:rsidRPr="00003EF6">
        <w:rPr>
          <w:b/>
        </w:rPr>
        <w:t>CROSS-BORDER PLACEMENTS OF CHILDREN AND YOUNG PEOPLE INTO RESIDENTIAL CARE IN SCOTLAND: POLICY POSITION PAPER</w:t>
      </w:r>
    </w:p>
    <w:p w14:paraId="3FD5B6D0" w14:textId="07039AFE" w:rsidR="00003EF6" w:rsidRDefault="00003EF6" w:rsidP="00003EF6">
      <w:pPr>
        <w:pBdr>
          <w:bottom w:val="single" w:sz="12" w:space="1" w:color="auto"/>
        </w:pBdr>
        <w:jc w:val="center"/>
        <w:rPr>
          <w:b/>
          <w:bCs/>
        </w:rPr>
      </w:pPr>
      <w:r>
        <w:rPr>
          <w:b/>
          <w:bCs/>
        </w:rPr>
        <w:t xml:space="preserve"> </w:t>
      </w:r>
    </w:p>
    <w:p w14:paraId="0AB5908D" w14:textId="77777777" w:rsidR="00003EF6" w:rsidRDefault="00003EF6">
      <w:pPr>
        <w:rPr>
          <w:b/>
          <w:u w:val="single"/>
        </w:rPr>
      </w:pPr>
    </w:p>
    <w:p w14:paraId="70DE5284" w14:textId="53EE2EF0" w:rsidR="00D032AC" w:rsidRDefault="00D032AC">
      <w:r>
        <w:rPr>
          <w:color w:val="000000"/>
        </w:rPr>
        <w:t>This is an important issue, on which the Faculty is keen to offer comment. In the limited time available, the Faculty has only been able to approach those</w:t>
      </w:r>
      <w:r w:rsidR="00BB0CDF">
        <w:rPr>
          <w:color w:val="000000"/>
        </w:rPr>
        <w:t xml:space="preserve"> of our members who have been</w:t>
      </w:r>
      <w:r>
        <w:rPr>
          <w:color w:val="000000"/>
        </w:rPr>
        <w:t xml:space="preserve"> involved in litigations to date. </w:t>
      </w:r>
      <w:r w:rsidR="0067418E">
        <w:rPr>
          <w:color w:val="000000"/>
        </w:rPr>
        <w:t>Furthermore, o</w:t>
      </w:r>
      <w:r>
        <w:rPr>
          <w:color w:val="000000"/>
        </w:rPr>
        <w:t>ur comments</w:t>
      </w:r>
      <w:r w:rsidR="00BB0CDF">
        <w:rPr>
          <w:color w:val="000000"/>
        </w:rPr>
        <w:t xml:space="preserve"> below</w:t>
      </w:r>
      <w:r>
        <w:rPr>
          <w:color w:val="000000"/>
        </w:rPr>
        <w:t xml:space="preserve"> come</w:t>
      </w:r>
      <w:r w:rsidR="00BB0CDF">
        <w:rPr>
          <w:color w:val="000000"/>
        </w:rPr>
        <w:t xml:space="preserve"> only</w:t>
      </w:r>
      <w:r>
        <w:rPr>
          <w:color w:val="000000"/>
        </w:rPr>
        <w:t xml:space="preserve"> from a particular perspective in these litigations, </w:t>
      </w:r>
      <w:r w:rsidR="00BB0CDF">
        <w:rPr>
          <w:color w:val="000000"/>
        </w:rPr>
        <w:t xml:space="preserve">as </w:t>
      </w:r>
      <w:r>
        <w:rPr>
          <w:color w:val="000000"/>
        </w:rPr>
        <w:t>other</w:t>
      </w:r>
      <w:r w:rsidR="00BB0CDF">
        <w:rPr>
          <w:color w:val="000000"/>
        </w:rPr>
        <w:t xml:space="preserve"> members were still actively involved </w:t>
      </w:r>
      <w:r w:rsidR="0067418E">
        <w:rPr>
          <w:color w:val="000000"/>
        </w:rPr>
        <w:t>to the extent that they</w:t>
      </w:r>
      <w:r w:rsidR="00BB0CDF">
        <w:rPr>
          <w:color w:val="000000"/>
        </w:rPr>
        <w:t xml:space="preserve"> felt unable to offer comment</w:t>
      </w:r>
      <w:r w:rsidR="0067418E">
        <w:rPr>
          <w:color w:val="000000"/>
        </w:rPr>
        <w:t xml:space="preserve"> on the policy position paper</w:t>
      </w:r>
      <w:r w:rsidR="00BB0CDF">
        <w:rPr>
          <w:color w:val="000000"/>
        </w:rPr>
        <w:t xml:space="preserve"> at this stage. The comments </w:t>
      </w:r>
      <w:r w:rsidR="00162939">
        <w:rPr>
          <w:color w:val="000000"/>
        </w:rPr>
        <w:t xml:space="preserve">are therefore offered particularly from the experience of members </w:t>
      </w:r>
      <w:r w:rsidR="001C0B06">
        <w:rPr>
          <w:color w:val="000000"/>
        </w:rPr>
        <w:t>who have acted</w:t>
      </w:r>
      <w:r w:rsidR="00162939">
        <w:rPr>
          <w:color w:val="000000"/>
        </w:rPr>
        <w:t xml:space="preserve"> for local authorities in England and Wales, or child respondents.</w:t>
      </w:r>
    </w:p>
    <w:p w14:paraId="59BE3FFB" w14:textId="77777777" w:rsidR="00E00EF9" w:rsidRDefault="00E00EF9"/>
    <w:p w14:paraId="2A988FB4" w14:textId="587EFA4B" w:rsidR="00CF00E4" w:rsidRDefault="00162939" w:rsidP="00901EF1">
      <w:pPr>
        <w:pStyle w:val="ListParagraph"/>
        <w:numPr>
          <w:ilvl w:val="0"/>
          <w:numId w:val="1"/>
        </w:numPr>
      </w:pPr>
      <w:r>
        <w:t>T</w:t>
      </w:r>
      <w:r w:rsidR="00405908">
        <w:t>h</w:t>
      </w:r>
      <w:r>
        <w:t>e time-period of the</w:t>
      </w:r>
      <w:r w:rsidR="00405908">
        <w:t xml:space="preserve"> consultation </w:t>
      </w:r>
      <w:r>
        <w:t>necessarily allows</w:t>
      </w:r>
      <w:r w:rsidR="00405908">
        <w:t xml:space="preserve"> little time to develop a full response, and what is proposed is rightly said to be a short-term solution to problems requiring a long-term solution. </w:t>
      </w:r>
      <w:r w:rsidR="00223257">
        <w:t>These</w:t>
      </w:r>
      <w:r w:rsidR="00405908">
        <w:t xml:space="preserve"> comments </w:t>
      </w:r>
      <w:r w:rsidR="00223257">
        <w:t>t</w:t>
      </w:r>
      <w:r w:rsidR="00405908">
        <w:t>here</w:t>
      </w:r>
      <w:r w:rsidR="00223257">
        <w:t>fore</w:t>
      </w:r>
      <w:r w:rsidR="00405908">
        <w:t xml:space="preserve"> have these constraints.</w:t>
      </w:r>
    </w:p>
    <w:p w14:paraId="1A54F081" w14:textId="77777777" w:rsidR="00CF00E4" w:rsidRDefault="00CF00E4" w:rsidP="00CF00E4">
      <w:pPr>
        <w:pStyle w:val="ListParagraph"/>
      </w:pPr>
    </w:p>
    <w:p w14:paraId="161303BA" w14:textId="77777777" w:rsidR="00C25564" w:rsidRDefault="00CF00E4" w:rsidP="00901EF1">
      <w:pPr>
        <w:pStyle w:val="ListParagraph"/>
        <w:numPr>
          <w:ilvl w:val="0"/>
          <w:numId w:val="1"/>
        </w:numPr>
        <w:sectPr w:rsidR="00C25564" w:rsidSect="00C25564">
          <w:headerReference w:type="default" r:id="rId8"/>
          <w:pgSz w:w="11900" w:h="16840"/>
          <w:pgMar w:top="1440" w:right="1440" w:bottom="1440" w:left="1440" w:header="567" w:footer="708" w:gutter="0"/>
          <w:cols w:space="708"/>
          <w:docGrid w:linePitch="360"/>
        </w:sectPr>
      </w:pPr>
      <w:r>
        <w:t xml:space="preserve">The policy paper is correct to spell out that the best interests of children should be central. It might be added, because it is not spelled out, that the voice of the child should also be central; these children are effectively being </w:t>
      </w:r>
    </w:p>
    <w:p w14:paraId="5C10B6E2" w14:textId="20707A5D" w:rsidR="00CF00E4" w:rsidRDefault="00CF00E4" w:rsidP="00C25564">
      <w:pPr>
        <w:pStyle w:val="ListParagraph"/>
      </w:pPr>
      <w:r>
        <w:t>deprived of a chance to be</w:t>
      </w:r>
      <w:bookmarkStart w:id="0" w:name="_GoBack"/>
      <w:bookmarkEnd w:id="0"/>
      <w:r>
        <w:t xml:space="preserve"> effectively heard on the conditions of their care and detention. At present, they are told they must instruct Scottish solicitors and counsel for the Inner House; a very few do so, but for most this is an empty right.</w:t>
      </w:r>
    </w:p>
    <w:p w14:paraId="1B93FD1B" w14:textId="77777777" w:rsidR="00CF00E4" w:rsidRDefault="00CF00E4" w:rsidP="00CF00E4">
      <w:pPr>
        <w:pStyle w:val="ListParagraph"/>
      </w:pPr>
    </w:p>
    <w:p w14:paraId="72A95BF8" w14:textId="210BB8BC" w:rsidR="00467834" w:rsidRDefault="005F169B" w:rsidP="00901EF1">
      <w:pPr>
        <w:pStyle w:val="ListParagraph"/>
        <w:numPr>
          <w:ilvl w:val="0"/>
          <w:numId w:val="1"/>
        </w:numPr>
      </w:pPr>
      <w:r>
        <w:lastRenderedPageBreak/>
        <w:t xml:space="preserve">There is no doubt </w:t>
      </w:r>
      <w:r w:rsidR="00783EB8">
        <w:t xml:space="preserve">that </w:t>
      </w:r>
      <w:r>
        <w:t>a long</w:t>
      </w:r>
      <w:r w:rsidR="00C4256B">
        <w:t>-term solution is required</w:t>
      </w:r>
      <w:r w:rsidR="00223257">
        <w:t>,</w:t>
      </w:r>
      <w:r w:rsidR="00C4256B">
        <w:t xml:space="preserve"> and the paper is right to recognise that the profound underlying problem is the desperate shortage of appropriate accommodation in England, which has been described by the English courts on many occasions as ‘scandalous’ or worse. </w:t>
      </w:r>
      <w:r w:rsidR="00B60E30">
        <w:t xml:space="preserve">That is what has led to placements in Scotland which are in effect unauthorised in law. A few of these have been appropriate, e.g. children from </w:t>
      </w:r>
      <w:r w:rsidR="00E00EF9">
        <w:t>Cumberland placed in Dumfries</w:t>
      </w:r>
      <w:r w:rsidR="009E5C6A">
        <w:t>.</w:t>
      </w:r>
      <w:r w:rsidR="00E00EF9">
        <w:t xml:space="preserve"> </w:t>
      </w:r>
      <w:r w:rsidR="009E5C6A">
        <w:t>Such close proximity is</w:t>
      </w:r>
      <w:r w:rsidR="00E00EF9">
        <w:t xml:space="preserve"> rare</w:t>
      </w:r>
      <w:r w:rsidR="009E5C6A">
        <w:t>;</w:t>
      </w:r>
      <w:r w:rsidR="00E00EF9">
        <w:t xml:space="preserve"> most are </w:t>
      </w:r>
      <w:r w:rsidR="00AC3330">
        <w:t>emergencies driven by the impossibility (real or perceived) of finding an appropriate placement in England</w:t>
      </w:r>
      <w:r w:rsidR="00387CEF">
        <w:t xml:space="preserve"> &amp; </w:t>
      </w:r>
      <w:r w:rsidR="00AC3330">
        <w:t>Wales.</w:t>
      </w:r>
      <w:r w:rsidR="0029610A">
        <w:t xml:space="preserve"> The policy paper is right to describe that background</w:t>
      </w:r>
      <w:r w:rsidR="00BB74A9">
        <w:t xml:space="preserve">. </w:t>
      </w:r>
      <w:r w:rsidR="00917A61">
        <w:t>However, it is a</w:t>
      </w:r>
      <w:r w:rsidR="00BB74A9">
        <w:t xml:space="preserve"> concer</w:t>
      </w:r>
      <w:r w:rsidR="00917A61">
        <w:t>n</w:t>
      </w:r>
      <w:r w:rsidR="00BB74A9">
        <w:t xml:space="preserve"> that better short-term solutions may make the problem of such placements worse, in the sense of making them more common in practice.</w:t>
      </w:r>
    </w:p>
    <w:p w14:paraId="663A267D" w14:textId="77777777" w:rsidR="00BB74A9" w:rsidRDefault="00BB74A9"/>
    <w:p w14:paraId="5FE36ABE" w14:textId="79F3AD7B" w:rsidR="00BB74A9" w:rsidRDefault="00BB74A9" w:rsidP="00901EF1">
      <w:pPr>
        <w:pStyle w:val="ListParagraph"/>
        <w:numPr>
          <w:ilvl w:val="0"/>
          <w:numId w:val="1"/>
        </w:numPr>
      </w:pPr>
      <w:r>
        <w:t xml:space="preserve">Nobody knows how common such placements are. The only measure has been ‘how many petitions are there to the </w:t>
      </w:r>
      <w:proofErr w:type="spellStart"/>
      <w:r w:rsidRPr="008A5B9F">
        <w:rPr>
          <w:i/>
          <w:iCs/>
        </w:rPr>
        <w:t>nobile</w:t>
      </w:r>
      <w:proofErr w:type="spellEnd"/>
      <w:r>
        <w:t xml:space="preserve"> </w:t>
      </w:r>
      <w:proofErr w:type="spellStart"/>
      <w:r w:rsidRPr="008A5B9F">
        <w:rPr>
          <w:i/>
          <w:iCs/>
        </w:rPr>
        <w:t>officium</w:t>
      </w:r>
      <w:proofErr w:type="spellEnd"/>
      <w:r w:rsidRPr="008A5B9F">
        <w:rPr>
          <w:i/>
          <w:iCs/>
        </w:rPr>
        <w:t>’</w:t>
      </w:r>
      <w:r>
        <w:t xml:space="preserve">. But this is unreliable. There is substantial reason to suspect that </w:t>
      </w:r>
      <w:r w:rsidR="003F6D8B">
        <w:t xml:space="preserve">there </w:t>
      </w:r>
      <w:r>
        <w:t xml:space="preserve">are numerous cases where there are no petitions, even where there should be. A basic problem has been </w:t>
      </w:r>
      <w:r w:rsidR="00FD11EF">
        <w:t>an apparent</w:t>
      </w:r>
      <w:r>
        <w:t xml:space="preserve"> </w:t>
      </w:r>
      <w:r w:rsidR="008A1C6A">
        <w:t xml:space="preserve">lack of concern </w:t>
      </w:r>
      <w:r>
        <w:t>as to the implications of Scotland being a dist</w:t>
      </w:r>
      <w:r w:rsidR="00DC0F94">
        <w:t>inct jurisdiction</w:t>
      </w:r>
      <w:r w:rsidR="008A1C6A">
        <w:t>, whether from English local authorities, their lawyers, or deputy judges in the English High Court</w:t>
      </w:r>
      <w:r w:rsidR="00DC0F94">
        <w:t>.</w:t>
      </w:r>
    </w:p>
    <w:p w14:paraId="3282D2FE" w14:textId="77777777" w:rsidR="00DC0F94" w:rsidRDefault="00DC0F94"/>
    <w:p w14:paraId="5FE51730" w14:textId="3C2217E4" w:rsidR="00DC0F94" w:rsidRDefault="00DC0F94" w:rsidP="00901EF1">
      <w:pPr>
        <w:pStyle w:val="ListParagraph"/>
        <w:numPr>
          <w:ilvl w:val="0"/>
          <w:numId w:val="1"/>
        </w:numPr>
      </w:pPr>
      <w:r>
        <w:t xml:space="preserve">If, agreeing with the policy paper, it is made easier to place children in Scotland, more </w:t>
      </w:r>
      <w:r w:rsidR="008D7863">
        <w:t>may well</w:t>
      </w:r>
      <w:r>
        <w:t xml:space="preserve"> be placed. At present one constraint is that the legal process is rightly perceived by English authorities as difficult, uncertain, and expensive. If </w:t>
      </w:r>
      <w:r w:rsidR="009E5C6A">
        <w:t>this changes</w:t>
      </w:r>
      <w:r>
        <w:t xml:space="preserve">, there will be more placements. </w:t>
      </w:r>
      <w:r w:rsidR="002D55D5">
        <w:t xml:space="preserve">So this will require to be kept under very close review in Scotland; the </w:t>
      </w:r>
      <w:r w:rsidR="002D55D5">
        <w:lastRenderedPageBreak/>
        <w:t>2017 amendments led to a</w:t>
      </w:r>
      <w:r w:rsidR="00B34139">
        <w:t xml:space="preserve"> significant increase</w:t>
      </w:r>
      <w:r w:rsidR="002D55D5">
        <w:t xml:space="preserve"> in the number of English children being placed in Scottish secure accommodation, which has caused extreme pressure on </w:t>
      </w:r>
      <w:r w:rsidR="00215058">
        <w:t xml:space="preserve">such places as are </w:t>
      </w:r>
      <w:r w:rsidR="002D55D5">
        <w:t xml:space="preserve">available for Scottish children, and we </w:t>
      </w:r>
      <w:r w:rsidR="006A130A">
        <w:t xml:space="preserve">may be </w:t>
      </w:r>
      <w:r w:rsidR="002D55D5">
        <w:t xml:space="preserve">moving towards similar shortages in Scotland as there </w:t>
      </w:r>
      <w:r w:rsidR="00563365">
        <w:t xml:space="preserve">are in England. </w:t>
      </w:r>
    </w:p>
    <w:p w14:paraId="55050CBA" w14:textId="77777777" w:rsidR="007939BC" w:rsidRDefault="007939BC" w:rsidP="007939BC">
      <w:pPr>
        <w:pStyle w:val="ListParagraph"/>
      </w:pPr>
    </w:p>
    <w:p w14:paraId="04BB36DA" w14:textId="58462A47" w:rsidR="000B3421" w:rsidRDefault="000B3421" w:rsidP="00901EF1">
      <w:pPr>
        <w:pStyle w:val="ListParagraph"/>
        <w:numPr>
          <w:ilvl w:val="0"/>
          <w:numId w:val="1"/>
        </w:numPr>
      </w:pPr>
      <w:r>
        <w:t>With these warnings</w:t>
      </w:r>
      <w:r w:rsidR="00421C49">
        <w:t>, the following</w:t>
      </w:r>
      <w:r>
        <w:t xml:space="preserve"> comments</w:t>
      </w:r>
      <w:r w:rsidR="00421C49">
        <w:t xml:space="preserve"> are made</w:t>
      </w:r>
      <w:r>
        <w:t>.</w:t>
      </w:r>
    </w:p>
    <w:p w14:paraId="1D33F9FA" w14:textId="77777777" w:rsidR="000B3421" w:rsidRDefault="000B3421"/>
    <w:p w14:paraId="6E09A8CF" w14:textId="27D66B49" w:rsidR="000B3421" w:rsidRDefault="000B3421" w:rsidP="00901EF1">
      <w:pPr>
        <w:pStyle w:val="ListParagraph"/>
        <w:numPr>
          <w:ilvl w:val="0"/>
          <w:numId w:val="1"/>
        </w:numPr>
      </w:pPr>
      <w:r>
        <w:t xml:space="preserve">First, </w:t>
      </w:r>
      <w:r w:rsidR="00571647">
        <w:t>it is accepted</w:t>
      </w:r>
      <w:r>
        <w:t xml:space="preserve"> that it is inappropriate for these cases to require the </w:t>
      </w:r>
      <w:proofErr w:type="spellStart"/>
      <w:r w:rsidRPr="00571647">
        <w:rPr>
          <w:i/>
          <w:iCs/>
        </w:rPr>
        <w:t>nobile</w:t>
      </w:r>
      <w:proofErr w:type="spellEnd"/>
      <w:r>
        <w:t xml:space="preserve"> </w:t>
      </w:r>
      <w:proofErr w:type="spellStart"/>
      <w:r w:rsidRPr="00571647">
        <w:rPr>
          <w:i/>
          <w:iCs/>
        </w:rPr>
        <w:t>officium</w:t>
      </w:r>
      <w:proofErr w:type="spellEnd"/>
      <w:r>
        <w:t xml:space="preserve">. </w:t>
      </w:r>
      <w:r w:rsidR="00571647">
        <w:t>T</w:t>
      </w:r>
      <w:r>
        <w:t xml:space="preserve">he </w:t>
      </w:r>
      <w:proofErr w:type="spellStart"/>
      <w:r w:rsidRPr="00571647">
        <w:rPr>
          <w:i/>
          <w:iCs/>
        </w:rPr>
        <w:t>nobile</w:t>
      </w:r>
      <w:proofErr w:type="spellEnd"/>
      <w:r>
        <w:t xml:space="preserve"> </w:t>
      </w:r>
      <w:proofErr w:type="spellStart"/>
      <w:r w:rsidRPr="00571647">
        <w:rPr>
          <w:i/>
          <w:iCs/>
        </w:rPr>
        <w:t>officium</w:t>
      </w:r>
      <w:proofErr w:type="spellEnd"/>
      <w:r>
        <w:t xml:space="preserve"> does</w:t>
      </w:r>
      <w:r w:rsidR="00571647">
        <w:t xml:space="preserve"> </w:t>
      </w:r>
      <w:r>
        <w:t>n</w:t>
      </w:r>
      <w:r w:rsidR="00571647">
        <w:t>o</w:t>
      </w:r>
      <w:r>
        <w:t xml:space="preserve">t in practice lead to proper scrutiny; the court does not have specialist expertise in child protection, and in practice simply takes local authority assurances (albeit mediated through solicitors and counsel) as to the situation. It does not test these, it rarely requires any hearing, it almost never requires any independent report (e.g. from a </w:t>
      </w:r>
      <w:proofErr w:type="spellStart"/>
      <w:r>
        <w:t>safeguarder</w:t>
      </w:r>
      <w:proofErr w:type="spellEnd"/>
      <w:r>
        <w:t xml:space="preserve">), and children almost never get a proper hearing in their own right. This </w:t>
      </w:r>
      <w:r w:rsidR="002E4819">
        <w:t>can thus be said to be</w:t>
      </w:r>
      <w:r>
        <w:t xml:space="preserve"> expensive, inappropriate</w:t>
      </w:r>
      <w:r w:rsidR="002E4819">
        <w:t>, and having little purpose</w:t>
      </w:r>
      <w:r w:rsidR="00647E43">
        <w:t xml:space="preserve">. </w:t>
      </w:r>
    </w:p>
    <w:p w14:paraId="039E07DC" w14:textId="77777777" w:rsidR="00647E43" w:rsidRDefault="00647E43"/>
    <w:p w14:paraId="60A043BC" w14:textId="4CFD92E7" w:rsidR="00647E43" w:rsidRDefault="00647E43" w:rsidP="00901EF1">
      <w:pPr>
        <w:pStyle w:val="ListParagraph"/>
        <w:numPr>
          <w:ilvl w:val="0"/>
          <w:numId w:val="1"/>
        </w:numPr>
      </w:pPr>
      <w:r>
        <w:t xml:space="preserve">Second, </w:t>
      </w:r>
      <w:r w:rsidR="00234C32">
        <w:t>it is accepted</w:t>
      </w:r>
      <w:r>
        <w:t xml:space="preserve"> that the </w:t>
      </w:r>
      <w:r w:rsidR="00751076">
        <w:t xml:space="preserve">statutory route of providing for recognition of some English orders under section 190 of the 2011 Act is the right one. </w:t>
      </w:r>
      <w:r w:rsidR="00234C32">
        <w:t>T</w:t>
      </w:r>
      <w:r w:rsidR="00751076">
        <w:t xml:space="preserve">his is </w:t>
      </w:r>
      <w:r w:rsidR="00234C32">
        <w:t>probably un</w:t>
      </w:r>
      <w:r w:rsidR="00751076">
        <w:t>controversial. The question is, how is</w:t>
      </w:r>
      <w:r w:rsidR="00234C32">
        <w:t xml:space="preserve"> this</w:t>
      </w:r>
      <w:r w:rsidR="00751076">
        <w:t xml:space="preserve"> to be done, as the policy paper describes.</w:t>
      </w:r>
    </w:p>
    <w:p w14:paraId="7F5361B4" w14:textId="77777777" w:rsidR="00751076" w:rsidRDefault="00751076"/>
    <w:p w14:paraId="3CD83180" w14:textId="053E56D5" w:rsidR="00751076" w:rsidRDefault="00751076" w:rsidP="00901EF1">
      <w:pPr>
        <w:pStyle w:val="ListParagraph"/>
        <w:numPr>
          <w:ilvl w:val="0"/>
          <w:numId w:val="1"/>
        </w:numPr>
      </w:pPr>
      <w:r>
        <w:t xml:space="preserve">Third, </w:t>
      </w:r>
      <w:r w:rsidR="008C11F2">
        <w:t>it is accepted</w:t>
      </w:r>
      <w:r>
        <w:t xml:space="preserve"> that the primary supervising authority should be the English one, which is acquainted with the case. In particular, because many of these placements last no more than a few weeks or months, it would be inefficient to transfer their supervision </w:t>
      </w:r>
      <w:r>
        <w:lastRenderedPageBreak/>
        <w:t xml:space="preserve">to a Scottish </w:t>
      </w:r>
      <w:r w:rsidR="003D3135">
        <w:t>loc</w:t>
      </w:r>
      <w:r>
        <w:t>al</w:t>
      </w:r>
      <w:r w:rsidR="009E5C6A">
        <w:t xml:space="preserve"> </w:t>
      </w:r>
      <w:r>
        <w:t xml:space="preserve">authority for a temporary period. Nevertheless, all such cases should be made known to the Scottish authority. </w:t>
      </w:r>
      <w:r w:rsidR="007704D1">
        <w:t>C</w:t>
      </w:r>
      <w:r>
        <w:t xml:space="preserve">hildren </w:t>
      </w:r>
      <w:r w:rsidR="007704D1">
        <w:t xml:space="preserve">may </w:t>
      </w:r>
      <w:r>
        <w:t xml:space="preserve">have been in care in Scotland for years, unknown to the Scottish authority. </w:t>
      </w:r>
      <w:r w:rsidR="00F67CBA">
        <w:t>I</w:t>
      </w:r>
      <w:r w:rsidR="007704D1">
        <w:t xml:space="preserve">t is unclear </w:t>
      </w:r>
      <w:r w:rsidR="00F67CBA">
        <w:t>why authorities</w:t>
      </w:r>
      <w:r w:rsidR="00E85DA0">
        <w:t xml:space="preserve"> in England &amp; Wales</w:t>
      </w:r>
      <w:r w:rsidR="00F67CBA">
        <w:t xml:space="preserve"> </w:t>
      </w:r>
      <w:r w:rsidR="007704D1">
        <w:t>would</w:t>
      </w:r>
      <w:r w:rsidR="00F67CBA">
        <w:t xml:space="preserve"> </w:t>
      </w:r>
      <w:r w:rsidR="007704D1">
        <w:t>not notify</w:t>
      </w:r>
      <w:r w:rsidR="00F67CBA">
        <w:t xml:space="preserve"> their Scottish opposite numbers, but </w:t>
      </w:r>
      <w:r w:rsidR="007704D1">
        <w:t xml:space="preserve">this </w:t>
      </w:r>
      <w:r w:rsidR="00D617EC">
        <w:t>can</w:t>
      </w:r>
      <w:r w:rsidR="007704D1">
        <w:t xml:space="preserve"> occur</w:t>
      </w:r>
      <w:r w:rsidR="00F67CBA">
        <w:t xml:space="preserve"> </w:t>
      </w:r>
      <w:r w:rsidR="007704D1">
        <w:t xml:space="preserve">(for example, </w:t>
      </w:r>
      <w:r w:rsidR="00F67CBA">
        <w:t xml:space="preserve">a Scottish authority </w:t>
      </w:r>
      <w:r w:rsidR="007704D1">
        <w:t>may</w:t>
      </w:r>
      <w:r w:rsidR="00F67CBA">
        <w:t xml:space="preserve"> find a child who has absconded from care in Scotland</w:t>
      </w:r>
      <w:r w:rsidR="007704D1">
        <w:t xml:space="preserve"> and</w:t>
      </w:r>
      <w:r w:rsidR="00F67CBA">
        <w:t xml:space="preserve"> </w:t>
      </w:r>
      <w:r w:rsidR="007704D1">
        <w:t>is</w:t>
      </w:r>
      <w:r w:rsidR="00034D63">
        <w:t xml:space="preserve"> </w:t>
      </w:r>
      <w:r w:rsidR="00F67CBA">
        <w:t>in their area</w:t>
      </w:r>
      <w:r w:rsidR="007704D1">
        <w:t>, but about whom</w:t>
      </w:r>
      <w:r w:rsidR="00F67CBA">
        <w:t xml:space="preserve"> they knew nothing</w:t>
      </w:r>
      <w:r w:rsidR="007704D1">
        <w:t>)</w:t>
      </w:r>
      <w:r w:rsidR="00F67CBA">
        <w:t>.</w:t>
      </w:r>
      <w:r w:rsidR="00F0644A">
        <w:t xml:space="preserve">  The longer the interval since transfer, the more difficult it will become for an authority based in England or Wales to provide meaningful monitoring and input, and there cannot be a vacuum</w:t>
      </w:r>
      <w:r w:rsidR="00975B12">
        <w:t xml:space="preserve"> in that re</w:t>
      </w:r>
      <w:r w:rsidR="00F0644A">
        <w:t xml:space="preserve">gard.  </w:t>
      </w:r>
    </w:p>
    <w:p w14:paraId="4CEFBFC2" w14:textId="77777777" w:rsidR="00F67CBA" w:rsidRDefault="00F67CBA"/>
    <w:p w14:paraId="6A6323E6" w14:textId="69200A9A" w:rsidR="006A7F46" w:rsidRDefault="006A7F46" w:rsidP="00901EF1">
      <w:pPr>
        <w:pStyle w:val="ListParagraph"/>
        <w:numPr>
          <w:ilvl w:val="0"/>
          <w:numId w:val="1"/>
        </w:numPr>
      </w:pPr>
      <w:r>
        <w:t>For these reasons, it</w:t>
      </w:r>
      <w:r w:rsidR="0090025A">
        <w:t xml:space="preserve"> might be suggested that it</w:t>
      </w:r>
      <w:r>
        <w:t xml:space="preserve"> should be a condition of all such placements – and in particular where children are being deprived of their liberty</w:t>
      </w:r>
      <w:r w:rsidR="009E5C6A">
        <w:t xml:space="preserve"> </w:t>
      </w:r>
      <w:r>
        <w:t>- that they should be brought before a children’s hearing in Scotland. The child would get a right of audience</w:t>
      </w:r>
      <w:r w:rsidR="004D67E1">
        <w:t>, and</w:t>
      </w:r>
      <w:r w:rsidR="00241E97">
        <w:t xml:space="preserve"> </w:t>
      </w:r>
      <w:r w:rsidR="001C22B0">
        <w:t xml:space="preserve">SCRA would be </w:t>
      </w:r>
      <w:r w:rsidR="004D67E1">
        <w:t>aware of matters</w:t>
      </w:r>
      <w:r w:rsidR="001C22B0">
        <w:t>. There could be p</w:t>
      </w:r>
      <w:r w:rsidR="00B35F02">
        <w:t xml:space="preserve">roper </w:t>
      </w:r>
      <w:r w:rsidR="001C22B0">
        <w:t>discussion in a way th</w:t>
      </w:r>
      <w:r w:rsidR="00B35F02">
        <w:t>at th</w:t>
      </w:r>
      <w:r w:rsidR="001C22B0">
        <w:t xml:space="preserve">e English High Court </w:t>
      </w:r>
      <w:r w:rsidR="00B35F02">
        <w:t xml:space="preserve">would struggle to </w:t>
      </w:r>
      <w:r w:rsidR="001C22B0">
        <w:t>do from afar.</w:t>
      </w:r>
    </w:p>
    <w:p w14:paraId="78653174" w14:textId="77777777" w:rsidR="001C22B0" w:rsidRDefault="001C22B0"/>
    <w:p w14:paraId="5D27157E" w14:textId="4CF86C60" w:rsidR="001C22B0" w:rsidRDefault="001C22B0" w:rsidP="00901EF1">
      <w:pPr>
        <w:pStyle w:val="ListParagraph"/>
        <w:numPr>
          <w:ilvl w:val="0"/>
          <w:numId w:val="1"/>
        </w:numPr>
      </w:pPr>
      <w:r>
        <w:t xml:space="preserve">A good way to regularise placements </w:t>
      </w:r>
      <w:r w:rsidR="00B35F02">
        <w:t>might</w:t>
      </w:r>
      <w:r>
        <w:t xml:space="preserve"> be to state that they could take effect as CSOs (with or without DOL conditions) if and only if the English order </w:t>
      </w:r>
      <w:r w:rsidR="001F4B0B">
        <w:t xml:space="preserve">satisfied a number of conditions.  </w:t>
      </w:r>
      <w:r>
        <w:t>At the moment, the English court (</w:t>
      </w:r>
      <w:r w:rsidR="00EE6016">
        <w:t xml:space="preserve">which may </w:t>
      </w:r>
      <w:r>
        <w:t xml:space="preserve">in practice be </w:t>
      </w:r>
      <w:r w:rsidR="00EE6016">
        <w:t>a</w:t>
      </w:r>
      <w:r>
        <w:t xml:space="preserve"> deputy judge with little experience of the</w:t>
      </w:r>
      <w:r w:rsidR="00EE6016">
        <w:t xml:space="preserve"> particular</w:t>
      </w:r>
      <w:r>
        <w:t xml:space="preserve"> issues</w:t>
      </w:r>
      <w:r w:rsidR="00EE6016">
        <w:t xml:space="preserve"> involved in such cases</w:t>
      </w:r>
      <w:r>
        <w:t>) simply makes an order and leaves its working out to the Court of Session</w:t>
      </w:r>
      <w:r w:rsidR="003D746E">
        <w:t>. I</w:t>
      </w:r>
      <w:r w:rsidR="0040566A">
        <w:t>t could</w:t>
      </w:r>
      <w:r w:rsidR="00EE6016">
        <w:t xml:space="preserve"> therefore</w:t>
      </w:r>
      <w:r w:rsidR="0040566A">
        <w:t xml:space="preserve"> be made a condition of an order to be recognised that</w:t>
      </w:r>
      <w:r w:rsidR="00215058">
        <w:t>:</w:t>
      </w:r>
      <w:r w:rsidR="0040566A">
        <w:t xml:space="preserve"> (a) the Scottish local authority and also SCRA were informed of it, and of its background; (b) the English authority was authorised to </w:t>
      </w:r>
      <w:r w:rsidR="0040566A">
        <w:lastRenderedPageBreak/>
        <w:t>make any disclosure to the</w:t>
      </w:r>
      <w:r w:rsidR="003D3135">
        <w:t xml:space="preserve"> local authority and SCRA</w:t>
      </w:r>
      <w:r w:rsidR="0040566A">
        <w:t xml:space="preserve"> which the</w:t>
      </w:r>
      <w:r w:rsidR="003D3135">
        <w:t xml:space="preserve"> latter</w:t>
      </w:r>
      <w:r w:rsidR="0040566A">
        <w:t xml:space="preserve"> regarded as necessary to perform their proper functions of child protection</w:t>
      </w:r>
      <w:r w:rsidR="00914B1D">
        <w:t xml:space="preserve"> (the confidentiality of the child’s file</w:t>
      </w:r>
      <w:r w:rsidR="00F6667C">
        <w:t xml:space="preserve"> is important, of course, but </w:t>
      </w:r>
      <w:r w:rsidR="005E1913">
        <w:t xml:space="preserve">should not </w:t>
      </w:r>
      <w:r w:rsidR="00E00FC0">
        <w:t>act as</w:t>
      </w:r>
      <w:r w:rsidR="005E1913">
        <w:t xml:space="preserve"> a barrier to acting</w:t>
      </w:r>
      <w:r w:rsidR="00F6667C">
        <w:t xml:space="preserve"> in the child’s interests)</w:t>
      </w:r>
      <w:r w:rsidR="0040566A">
        <w:t>; (c) the order be for a fairly short period, three months seem</w:t>
      </w:r>
      <w:r w:rsidR="003D3135">
        <w:t>ing</w:t>
      </w:r>
      <w:r w:rsidR="0040566A">
        <w:t xml:space="preserve"> appropriate as suggested; (d)</w:t>
      </w:r>
      <w:r w:rsidR="003479C2">
        <w:t xml:space="preserve"> </w:t>
      </w:r>
      <w:r w:rsidR="008E1170">
        <w:t>to ensure proper supervision of the scale of the issues in general</w:t>
      </w:r>
      <w:r w:rsidR="009E5C6A">
        <w:t xml:space="preserve"> </w:t>
      </w:r>
      <w:r w:rsidR="008E1170">
        <w:t xml:space="preserve">- and remembering that cases </w:t>
      </w:r>
      <w:r w:rsidR="005221CE">
        <w:t>could</w:t>
      </w:r>
      <w:r w:rsidR="008E1170">
        <w:t xml:space="preserve"> increase substantially once </w:t>
      </w:r>
      <w:proofErr w:type="spellStart"/>
      <w:r w:rsidR="005221CE">
        <w:rPr>
          <w:i/>
          <w:iCs/>
        </w:rPr>
        <w:t>nobile</w:t>
      </w:r>
      <w:proofErr w:type="spellEnd"/>
      <w:r w:rsidR="005221CE">
        <w:rPr>
          <w:i/>
          <w:iCs/>
        </w:rPr>
        <w:t xml:space="preserve"> </w:t>
      </w:r>
      <w:proofErr w:type="spellStart"/>
      <w:r w:rsidR="005221CE">
        <w:rPr>
          <w:i/>
          <w:iCs/>
        </w:rPr>
        <w:t>officium</w:t>
      </w:r>
      <w:proofErr w:type="spellEnd"/>
      <w:r w:rsidR="008E1170">
        <w:t xml:space="preserve"> petitions are superseded</w:t>
      </w:r>
      <w:r w:rsidR="009E5C6A">
        <w:t xml:space="preserve"> </w:t>
      </w:r>
      <w:r w:rsidR="008E1170">
        <w:t xml:space="preserve">- there must be intimation to CYPCS </w:t>
      </w:r>
      <w:r w:rsidR="00EE3BE9">
        <w:t>(</w:t>
      </w:r>
      <w:r w:rsidR="008E1170">
        <w:t>who</w:t>
      </w:r>
      <w:r w:rsidR="00D748E0">
        <w:t>,</w:t>
      </w:r>
      <w:r w:rsidR="008E1170">
        <w:t xml:space="preserve"> </w:t>
      </w:r>
      <w:r w:rsidR="00EE3BE9">
        <w:t>it is noted</w:t>
      </w:r>
      <w:r w:rsidR="00D748E0">
        <w:t>,</w:t>
      </w:r>
      <w:r w:rsidR="00EE3BE9">
        <w:t xml:space="preserve"> do</w:t>
      </w:r>
      <w:r w:rsidR="008E1170">
        <w:t xml:space="preserve"> not </w:t>
      </w:r>
      <w:r w:rsidR="00EE3BE9">
        <w:t xml:space="preserve">appear to be </w:t>
      </w:r>
      <w:r w:rsidR="008E1170">
        <w:t>mentioned in the policy paper</w:t>
      </w:r>
      <w:r w:rsidR="00EE3BE9">
        <w:t>)</w:t>
      </w:r>
      <w:r w:rsidR="008E1170">
        <w:t xml:space="preserve">. </w:t>
      </w:r>
      <w:r w:rsidR="001F4B0B">
        <w:t xml:space="preserve"> Although a different context, the arrangements for providing local authorisation and review for those people detained for mental health treatment who are transferred across a border may offer some useful comparisons.  That situation is governed by the</w:t>
      </w:r>
      <w:r w:rsidR="001F4B0B" w:rsidRPr="001F4B0B">
        <w:t xml:space="preserve"> Mental Health (Cross border transfer: patients subject to detention requirement or otherwise in hospital) (Scotland) Regulations 2005/467</w:t>
      </w:r>
      <w:r w:rsidR="001F4B0B">
        <w:t>.</w:t>
      </w:r>
    </w:p>
    <w:p w14:paraId="3F706169" w14:textId="77777777" w:rsidR="003B26CA" w:rsidRDefault="003B26CA"/>
    <w:p w14:paraId="5555BC6E" w14:textId="02FB5EC6" w:rsidR="003B26CA" w:rsidRDefault="00507820" w:rsidP="00901EF1">
      <w:pPr>
        <w:pStyle w:val="ListParagraph"/>
        <w:numPr>
          <w:ilvl w:val="0"/>
          <w:numId w:val="1"/>
        </w:numPr>
      </w:pPr>
      <w:r>
        <w:t>It is also suggested that t</w:t>
      </w:r>
      <w:r w:rsidR="003B26CA">
        <w:t>h</w:t>
      </w:r>
      <w:r w:rsidR="001F4B0B">
        <w:t>e</w:t>
      </w:r>
      <w:r w:rsidR="003B26CA">
        <w:t xml:space="preserve"> new procedure under s 190 regulations should apply not only to the class of children placed in Scotland for whom </w:t>
      </w:r>
      <w:proofErr w:type="spellStart"/>
      <w:r w:rsidR="003B26CA" w:rsidRPr="00507820">
        <w:rPr>
          <w:i/>
          <w:iCs/>
        </w:rPr>
        <w:t>nobile</w:t>
      </w:r>
      <w:proofErr w:type="spellEnd"/>
      <w:r w:rsidR="003B26CA" w:rsidRPr="00507820">
        <w:rPr>
          <w:i/>
          <w:iCs/>
        </w:rPr>
        <w:t xml:space="preserve"> </w:t>
      </w:r>
      <w:proofErr w:type="spellStart"/>
      <w:r w:rsidR="003B26CA" w:rsidRPr="00507820">
        <w:rPr>
          <w:i/>
          <w:iCs/>
        </w:rPr>
        <w:t>officium</w:t>
      </w:r>
      <w:proofErr w:type="spellEnd"/>
      <w:r w:rsidR="003B26CA">
        <w:t xml:space="preserve"> petitions are being (or should be</w:t>
      </w:r>
      <w:r w:rsidR="00215058">
        <w:t>)</w:t>
      </w:r>
      <w:r w:rsidR="00C11FE2">
        <w:t xml:space="preserve"> presented</w:t>
      </w:r>
      <w:r w:rsidR="003B26CA">
        <w:t>; that is to say, where there is a deprivation of liberty ordered by the English court, but not a placement in secure accommodation. It m</w:t>
      </w:r>
      <w:r w:rsidR="00EE107E">
        <w:t>ight</w:t>
      </w:r>
      <w:r w:rsidR="003B26CA">
        <w:t xml:space="preserve"> also</w:t>
      </w:r>
      <w:r w:rsidR="00DC1B3F">
        <w:t xml:space="preserve"> be suggested that it should</w:t>
      </w:r>
      <w:r w:rsidR="003B26CA">
        <w:t xml:space="preserve"> apply to children in secure accommodation in Scotland authorised by section 25 of the Children Act 1989, which was the last ‘short term’ interim solution</w:t>
      </w:r>
      <w:r w:rsidR="002E6038">
        <w:t>, as it would be anomalous if the fact the DOL was in secure accommodation led to less security</w:t>
      </w:r>
      <w:r w:rsidR="009E5C6A">
        <w:t>.</w:t>
      </w:r>
      <w:r w:rsidR="002E6038">
        <w:t xml:space="preserve"> </w:t>
      </w:r>
      <w:r w:rsidR="009E5C6A">
        <w:t>A</w:t>
      </w:r>
      <w:r w:rsidR="002E6038">
        <w:t xml:space="preserve">t present such placements do not even get the </w:t>
      </w:r>
      <w:r w:rsidR="005A144E">
        <w:t>limited</w:t>
      </w:r>
      <w:r w:rsidR="002E6038">
        <w:t xml:space="preserve"> scrutiny of a </w:t>
      </w:r>
      <w:proofErr w:type="spellStart"/>
      <w:r w:rsidR="002E6038" w:rsidRPr="005A144E">
        <w:rPr>
          <w:i/>
          <w:iCs/>
        </w:rPr>
        <w:t>nobile</w:t>
      </w:r>
      <w:proofErr w:type="spellEnd"/>
      <w:r w:rsidR="002E6038" w:rsidRPr="005A144E">
        <w:rPr>
          <w:i/>
          <w:iCs/>
        </w:rPr>
        <w:t xml:space="preserve"> </w:t>
      </w:r>
      <w:proofErr w:type="spellStart"/>
      <w:r w:rsidR="002E6038" w:rsidRPr="005A144E">
        <w:rPr>
          <w:i/>
          <w:iCs/>
        </w:rPr>
        <w:t>officium</w:t>
      </w:r>
      <w:proofErr w:type="spellEnd"/>
      <w:r w:rsidR="002E6038">
        <w:t xml:space="preserve"> process. </w:t>
      </w:r>
      <w:r w:rsidR="00DC1B3F">
        <w:t>I</w:t>
      </w:r>
      <w:r w:rsidR="002E6038">
        <w:t>t</w:t>
      </w:r>
      <w:r w:rsidR="00DC1B3F">
        <w:t xml:space="preserve"> might also be suggested that it</w:t>
      </w:r>
      <w:r w:rsidR="002E6038">
        <w:t xml:space="preserve"> should apply to all placements </w:t>
      </w:r>
      <w:r w:rsidR="002E6038">
        <w:lastRenderedPageBreak/>
        <w:t>of children in care under either final or interim care orders; not only where there is a DOL. Although the non-DOL category are less troubling, they should also have the protections in Scotland</w:t>
      </w:r>
      <w:r w:rsidR="0063042C">
        <w:t xml:space="preserve"> that</w:t>
      </w:r>
      <w:r w:rsidR="002E6038">
        <w:t xml:space="preserve"> a similar Scottish</w:t>
      </w:r>
      <w:r w:rsidR="009E5C6A">
        <w:t>-based</w:t>
      </w:r>
      <w:r w:rsidR="002E6038">
        <w:t xml:space="preserve"> child would have through the children’s hearing.</w:t>
      </w:r>
      <w:r w:rsidR="00987C80">
        <w:t xml:space="preserve"> This would also lead to a cleaner set of regulations, if the procedure applied to all placements taking effect in Scotland.</w:t>
      </w:r>
    </w:p>
    <w:p w14:paraId="552AA625" w14:textId="77777777" w:rsidR="002E6038" w:rsidRDefault="002E6038"/>
    <w:p w14:paraId="6034BFA4" w14:textId="2A87FAAF" w:rsidR="002E6038" w:rsidRDefault="00F31653" w:rsidP="00901EF1">
      <w:pPr>
        <w:pStyle w:val="ListParagraph"/>
        <w:numPr>
          <w:ilvl w:val="0"/>
          <w:numId w:val="1"/>
        </w:numPr>
      </w:pPr>
      <w:r>
        <w:t>F</w:t>
      </w:r>
      <w:r w:rsidR="002E6038">
        <w:t xml:space="preserve">inally, the policy paper </w:t>
      </w:r>
      <w:r>
        <w:t>is right to</w:t>
      </w:r>
      <w:r w:rsidR="002E6038">
        <w:t xml:space="preserve"> emphasise that the underlying problem is the lack of proper provision in England for these very fraught cases. </w:t>
      </w:r>
      <w:r>
        <w:t xml:space="preserve">As indicated, there should be consideration as to whether </w:t>
      </w:r>
      <w:r w:rsidR="00391A29">
        <w:t xml:space="preserve">a flight to Scotland might put similar pressures on Scottish provision. There are policy issues here </w:t>
      </w:r>
      <w:r>
        <w:t>that the Faculty</w:t>
      </w:r>
      <w:r w:rsidR="00391A29">
        <w:t xml:space="preserve"> cannot address, but it </w:t>
      </w:r>
      <w:r>
        <w:t>would indeed seem</w:t>
      </w:r>
      <w:r w:rsidR="00391A29">
        <w:t xml:space="preserve"> critical that (as the paper states) what is to be done here as an interim solution is recognised as</w:t>
      </w:r>
      <w:r>
        <w:t xml:space="preserve"> being</w:t>
      </w:r>
      <w:r w:rsidR="00391A29">
        <w:t xml:space="preserve"> no more than that. </w:t>
      </w:r>
      <w:r>
        <w:t>It is suggested that it would be useful for</w:t>
      </w:r>
      <w:r w:rsidR="00391A29">
        <w:t xml:space="preserve"> CYPCS </w:t>
      </w:r>
      <w:r>
        <w:t>to</w:t>
      </w:r>
      <w:r w:rsidR="00391A29">
        <w:t xml:space="preserve"> be involved.</w:t>
      </w:r>
    </w:p>
    <w:p w14:paraId="62A8ED7D" w14:textId="77777777" w:rsidR="00391A29" w:rsidRDefault="00391A29"/>
    <w:p w14:paraId="05ABB85E" w14:textId="7CA63F71" w:rsidR="00391A29" w:rsidRDefault="00391A29" w:rsidP="00901EF1">
      <w:pPr>
        <w:pStyle w:val="ListParagraph"/>
        <w:numPr>
          <w:ilvl w:val="0"/>
          <w:numId w:val="1"/>
        </w:numPr>
      </w:pPr>
      <w:r>
        <w:t xml:space="preserve">There is, as Scottish </w:t>
      </w:r>
      <w:r w:rsidR="00FC07C8">
        <w:t>G</w:t>
      </w:r>
      <w:r>
        <w:t>overnment recognises, real urgency here</w:t>
      </w:r>
      <w:r w:rsidR="00BE1B9F">
        <w:t>.</w:t>
      </w:r>
      <w:r>
        <w:t xml:space="preserve"> </w:t>
      </w:r>
      <w:r w:rsidR="00BE1B9F">
        <w:t>However,</w:t>
      </w:r>
      <w:r>
        <w:t xml:space="preserve"> Parliament will want to give this close scrutiny when draft regulations are presented. There are profound issues of principle in the proposal that one jurisdiction should recognise </w:t>
      </w:r>
      <w:r w:rsidR="004463E2">
        <w:t>orders from another jurisdiction that children be detained</w:t>
      </w:r>
      <w:r w:rsidR="00BE1B9F">
        <w:t>,</w:t>
      </w:r>
      <w:r w:rsidR="004463E2">
        <w:t xml:space="preserve"> and Faculty </w:t>
      </w:r>
      <w:r w:rsidR="00BE1B9F">
        <w:t xml:space="preserve">may </w:t>
      </w:r>
      <w:r w:rsidR="001F4B0B">
        <w:t>be able</w:t>
      </w:r>
      <w:r w:rsidR="00BE1B9F">
        <w:t xml:space="preserve"> to comment further once</w:t>
      </w:r>
      <w:r w:rsidR="0010290A">
        <w:t xml:space="preserve"> draft</w:t>
      </w:r>
      <w:r w:rsidR="004463E2">
        <w:t xml:space="preserve"> regulations come before Parliament.</w:t>
      </w:r>
    </w:p>
    <w:p w14:paraId="0DEA978D" w14:textId="77777777" w:rsidR="00C439AB" w:rsidRDefault="00C439AB" w:rsidP="00C439AB"/>
    <w:p w14:paraId="2E876FEE" w14:textId="059F3664" w:rsidR="00C439AB" w:rsidRDefault="00C439AB" w:rsidP="00C439AB">
      <w:r>
        <w:tab/>
      </w:r>
      <w:r>
        <w:tab/>
      </w:r>
      <w:r>
        <w:tab/>
      </w:r>
      <w:r>
        <w:tab/>
      </w:r>
      <w:r>
        <w:tab/>
      </w:r>
      <w:r>
        <w:tab/>
      </w:r>
      <w:r>
        <w:tab/>
      </w:r>
      <w:r>
        <w:tab/>
      </w:r>
      <w:r>
        <w:tab/>
      </w:r>
      <w:r>
        <w:tab/>
        <w:t>28 January 2022</w:t>
      </w:r>
    </w:p>
    <w:p w14:paraId="07185863" w14:textId="77777777" w:rsidR="00F67CBA" w:rsidRDefault="00F67CBA"/>
    <w:p w14:paraId="4C0375FA" w14:textId="77777777" w:rsidR="00F67CBA" w:rsidRDefault="00F67CBA"/>
    <w:p w14:paraId="3BD1D183" w14:textId="77777777" w:rsidR="00B60E30" w:rsidRDefault="00B60E30"/>
    <w:p w14:paraId="7B5F5252" w14:textId="77777777" w:rsidR="00B60E30" w:rsidRDefault="00B60E30"/>
    <w:sectPr w:rsidR="00B60E30" w:rsidSect="00C25564">
      <w:headerReference w:type="default" r:id="rId9"/>
      <w:pgSz w:w="11900" w:h="16840"/>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6AED4" w14:textId="77777777" w:rsidR="00296540" w:rsidRDefault="00296540" w:rsidP="00AC3330">
      <w:pPr>
        <w:spacing w:line="240" w:lineRule="auto"/>
      </w:pPr>
      <w:r>
        <w:separator/>
      </w:r>
    </w:p>
  </w:endnote>
  <w:endnote w:type="continuationSeparator" w:id="0">
    <w:p w14:paraId="45912081" w14:textId="77777777" w:rsidR="00296540" w:rsidRDefault="00296540" w:rsidP="00AC3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w:altName w:val="Book Antiqua"/>
    <w:charset w:val="4D"/>
    <w:family w:val="auto"/>
    <w:pitch w:val="variable"/>
    <w:sig w:usb0="A00002FF" w:usb1="7800205A" w:usb2="14600000" w:usb3="00000000" w:csb0="00000193"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1CF9" w14:textId="77777777" w:rsidR="00296540" w:rsidRDefault="00296540" w:rsidP="00AC3330">
      <w:pPr>
        <w:spacing w:line="240" w:lineRule="auto"/>
      </w:pPr>
      <w:r>
        <w:separator/>
      </w:r>
    </w:p>
  </w:footnote>
  <w:footnote w:type="continuationSeparator" w:id="0">
    <w:p w14:paraId="7BFEEF9A" w14:textId="77777777" w:rsidR="00296540" w:rsidRDefault="00296540" w:rsidP="00AC33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85F4" w14:textId="50EF474A" w:rsidR="00C25564" w:rsidRDefault="00C25564" w:rsidP="00C25564">
    <w:pPr>
      <w:pStyle w:val="Header"/>
      <w:jc w:val="center"/>
      <w:rPr>
        <w:rFonts w:ascii="Sylfaen" w:hAnsi="Sylfaen"/>
      </w:rPr>
    </w:pPr>
    <w:r w:rsidRPr="0035677F">
      <w:rPr>
        <w:rFonts w:ascii="Sylfaen" w:hAnsi="Sylfaen"/>
        <w:noProof/>
        <w:lang w:eastAsia="en-GB"/>
      </w:rPr>
      <w:drawing>
        <wp:inline distT="0" distB="0" distL="0" distR="0" wp14:anchorId="6E8D3A53" wp14:editId="6200BA13">
          <wp:extent cx="861060" cy="1158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158240"/>
                  </a:xfrm>
                  <a:prstGeom prst="rect">
                    <a:avLst/>
                  </a:prstGeom>
                  <a:noFill/>
                  <a:ln>
                    <a:noFill/>
                  </a:ln>
                </pic:spPr>
              </pic:pic>
            </a:graphicData>
          </a:graphic>
        </wp:inline>
      </w:drawing>
    </w:r>
  </w:p>
  <w:p w14:paraId="6DDEFE4F" w14:textId="1136A89A" w:rsidR="00C25564" w:rsidRDefault="00C25564" w:rsidP="00C25564">
    <w:pPr>
      <w:pStyle w:val="Header"/>
      <w:jc w:val="center"/>
    </w:pPr>
    <w:r w:rsidRPr="00601E93">
      <w:rPr>
        <w:rFonts w:ascii="Sylfaen" w:hAnsi="Sylfaen"/>
        <w:b/>
        <w:color w:val="808080"/>
        <w:sz w:val="44"/>
        <w:szCs w:val="44"/>
      </w:rPr>
      <w:t>FACULTY OF ADVOCATES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3E75" w14:textId="188E1163" w:rsidR="00C25564" w:rsidRPr="00C25564" w:rsidRDefault="00C25564" w:rsidP="00C25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42083"/>
    <w:multiLevelType w:val="hybridMultilevel"/>
    <w:tmpl w:val="F1A2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34"/>
    <w:rsid w:val="00003EF6"/>
    <w:rsid w:val="00034D63"/>
    <w:rsid w:val="000B3421"/>
    <w:rsid w:val="000F50BF"/>
    <w:rsid w:val="0010290A"/>
    <w:rsid w:val="00121E28"/>
    <w:rsid w:val="00162939"/>
    <w:rsid w:val="0016564D"/>
    <w:rsid w:val="001C0B06"/>
    <w:rsid w:val="001C22B0"/>
    <w:rsid w:val="001F4B0B"/>
    <w:rsid w:val="00215058"/>
    <w:rsid w:val="00223257"/>
    <w:rsid w:val="00234C32"/>
    <w:rsid w:val="00235BB2"/>
    <w:rsid w:val="00241E97"/>
    <w:rsid w:val="0029610A"/>
    <w:rsid w:val="00296540"/>
    <w:rsid w:val="00296551"/>
    <w:rsid w:val="002D55D5"/>
    <w:rsid w:val="002E4819"/>
    <w:rsid w:val="002E6038"/>
    <w:rsid w:val="003479C2"/>
    <w:rsid w:val="00366F82"/>
    <w:rsid w:val="00387CEF"/>
    <w:rsid w:val="00391A29"/>
    <w:rsid w:val="003B26CA"/>
    <w:rsid w:val="003D3135"/>
    <w:rsid w:val="003D746E"/>
    <w:rsid w:val="003F6D8B"/>
    <w:rsid w:val="0040566A"/>
    <w:rsid w:val="00405908"/>
    <w:rsid w:val="00421C49"/>
    <w:rsid w:val="004463E2"/>
    <w:rsid w:val="00467834"/>
    <w:rsid w:val="004D67E1"/>
    <w:rsid w:val="004E1FC8"/>
    <w:rsid w:val="004F7018"/>
    <w:rsid w:val="00507820"/>
    <w:rsid w:val="005221CE"/>
    <w:rsid w:val="00552E37"/>
    <w:rsid w:val="00563365"/>
    <w:rsid w:val="00571647"/>
    <w:rsid w:val="00580420"/>
    <w:rsid w:val="005A144E"/>
    <w:rsid w:val="005E1913"/>
    <w:rsid w:val="005F169B"/>
    <w:rsid w:val="0063042C"/>
    <w:rsid w:val="00647E43"/>
    <w:rsid w:val="0067418E"/>
    <w:rsid w:val="006A130A"/>
    <w:rsid w:val="006A7F46"/>
    <w:rsid w:val="00751076"/>
    <w:rsid w:val="007704D1"/>
    <w:rsid w:val="00783EB8"/>
    <w:rsid w:val="007939BC"/>
    <w:rsid w:val="007B1B57"/>
    <w:rsid w:val="008A1C6A"/>
    <w:rsid w:val="008A5B9F"/>
    <w:rsid w:val="008C11F2"/>
    <w:rsid w:val="008D7863"/>
    <w:rsid w:val="008E1170"/>
    <w:rsid w:val="0090025A"/>
    <w:rsid w:val="00901EF1"/>
    <w:rsid w:val="00914B1D"/>
    <w:rsid w:val="00917A61"/>
    <w:rsid w:val="00975B12"/>
    <w:rsid w:val="00987C80"/>
    <w:rsid w:val="009C6130"/>
    <w:rsid w:val="009E5C6A"/>
    <w:rsid w:val="00AC3330"/>
    <w:rsid w:val="00B34139"/>
    <w:rsid w:val="00B35F02"/>
    <w:rsid w:val="00B60E30"/>
    <w:rsid w:val="00B646CE"/>
    <w:rsid w:val="00BB0CDF"/>
    <w:rsid w:val="00BB74A9"/>
    <w:rsid w:val="00BE1B9F"/>
    <w:rsid w:val="00C11FE2"/>
    <w:rsid w:val="00C25564"/>
    <w:rsid w:val="00C4256B"/>
    <w:rsid w:val="00C439AB"/>
    <w:rsid w:val="00C9228C"/>
    <w:rsid w:val="00CF00E4"/>
    <w:rsid w:val="00D032AC"/>
    <w:rsid w:val="00D33532"/>
    <w:rsid w:val="00D617EC"/>
    <w:rsid w:val="00D748E0"/>
    <w:rsid w:val="00DC0F94"/>
    <w:rsid w:val="00DC1B3F"/>
    <w:rsid w:val="00DD083F"/>
    <w:rsid w:val="00E00EF9"/>
    <w:rsid w:val="00E00FC0"/>
    <w:rsid w:val="00E23244"/>
    <w:rsid w:val="00E85DA0"/>
    <w:rsid w:val="00E96F65"/>
    <w:rsid w:val="00EE107E"/>
    <w:rsid w:val="00EE20B3"/>
    <w:rsid w:val="00EE3BE9"/>
    <w:rsid w:val="00EE6016"/>
    <w:rsid w:val="00F0644A"/>
    <w:rsid w:val="00F31653"/>
    <w:rsid w:val="00F6667C"/>
    <w:rsid w:val="00F67CBA"/>
    <w:rsid w:val="00FC07C8"/>
    <w:rsid w:val="00FD11EF"/>
    <w:rsid w:val="00FE59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838D22"/>
  <w15:docId w15:val="{275719A3-2672-47F0-B696-1AFFE8D2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w:eastAsiaTheme="minorHAnsi" w:hAnsi="Palatino" w:cs="Times New Roman (Body CS)"/>
        <w:sz w:val="24"/>
        <w:szCs w:val="24"/>
        <w:lang w:val="en-GB"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03EF6"/>
    <w:pPr>
      <w:keepNext/>
      <w:outlineLvl w:val="0"/>
    </w:pPr>
    <w:rPr>
      <w:rFonts w:ascii="Times New Roman" w:eastAsia="Times New Roman" w:hAnsi="Times New Roman" w:cs="Times New Roman"/>
      <w:b/>
      <w:bCs/>
    </w:rPr>
  </w:style>
  <w:style w:type="paragraph" w:styleId="Heading3">
    <w:name w:val="heading 3"/>
    <w:basedOn w:val="Normal"/>
    <w:next w:val="Normal"/>
    <w:link w:val="Heading3Char"/>
    <w:qFormat/>
    <w:rsid w:val="00003EF6"/>
    <w:pPr>
      <w:keepNext/>
      <w:jc w:val="center"/>
      <w:outlineLvl w:val="2"/>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330"/>
    <w:pPr>
      <w:tabs>
        <w:tab w:val="center" w:pos="4680"/>
        <w:tab w:val="right" w:pos="9360"/>
      </w:tabs>
      <w:spacing w:line="240" w:lineRule="auto"/>
    </w:pPr>
  </w:style>
  <w:style w:type="character" w:customStyle="1" w:styleId="HeaderChar">
    <w:name w:val="Header Char"/>
    <w:basedOn w:val="DefaultParagraphFont"/>
    <w:link w:val="Header"/>
    <w:rsid w:val="00AC3330"/>
  </w:style>
  <w:style w:type="paragraph" w:styleId="Footer">
    <w:name w:val="footer"/>
    <w:basedOn w:val="Normal"/>
    <w:link w:val="FooterChar"/>
    <w:uiPriority w:val="99"/>
    <w:unhideWhenUsed/>
    <w:rsid w:val="00AC3330"/>
    <w:pPr>
      <w:tabs>
        <w:tab w:val="center" w:pos="4680"/>
        <w:tab w:val="right" w:pos="9360"/>
      </w:tabs>
      <w:spacing w:line="240" w:lineRule="auto"/>
    </w:pPr>
  </w:style>
  <w:style w:type="character" w:customStyle="1" w:styleId="FooterChar">
    <w:name w:val="Footer Char"/>
    <w:basedOn w:val="DefaultParagraphFont"/>
    <w:link w:val="Footer"/>
    <w:uiPriority w:val="99"/>
    <w:rsid w:val="00AC3330"/>
  </w:style>
  <w:style w:type="paragraph" w:styleId="ListParagraph">
    <w:name w:val="List Paragraph"/>
    <w:basedOn w:val="Normal"/>
    <w:uiPriority w:val="34"/>
    <w:qFormat/>
    <w:rsid w:val="00901EF1"/>
    <w:pPr>
      <w:ind w:left="720"/>
      <w:contextualSpacing/>
    </w:pPr>
  </w:style>
  <w:style w:type="paragraph" w:styleId="BalloonText">
    <w:name w:val="Balloon Text"/>
    <w:basedOn w:val="Normal"/>
    <w:link w:val="BalloonTextChar"/>
    <w:semiHidden/>
    <w:unhideWhenUsed/>
    <w:rsid w:val="009E5C6A"/>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5C6A"/>
    <w:rPr>
      <w:rFonts w:ascii="Lucida Grande" w:hAnsi="Lucida Grande"/>
      <w:sz w:val="18"/>
      <w:szCs w:val="18"/>
    </w:rPr>
  </w:style>
  <w:style w:type="character" w:styleId="CommentReference">
    <w:name w:val="annotation reference"/>
    <w:basedOn w:val="DefaultParagraphFont"/>
    <w:uiPriority w:val="99"/>
    <w:semiHidden/>
    <w:unhideWhenUsed/>
    <w:rsid w:val="009E5C6A"/>
    <w:rPr>
      <w:sz w:val="18"/>
      <w:szCs w:val="18"/>
    </w:rPr>
  </w:style>
  <w:style w:type="paragraph" w:styleId="CommentText">
    <w:name w:val="annotation text"/>
    <w:basedOn w:val="Normal"/>
    <w:link w:val="CommentTextChar"/>
    <w:uiPriority w:val="99"/>
    <w:semiHidden/>
    <w:unhideWhenUsed/>
    <w:rsid w:val="009E5C6A"/>
    <w:pPr>
      <w:spacing w:line="240" w:lineRule="auto"/>
    </w:pPr>
  </w:style>
  <w:style w:type="character" w:customStyle="1" w:styleId="CommentTextChar">
    <w:name w:val="Comment Text Char"/>
    <w:basedOn w:val="DefaultParagraphFont"/>
    <w:link w:val="CommentText"/>
    <w:uiPriority w:val="99"/>
    <w:semiHidden/>
    <w:rsid w:val="009E5C6A"/>
  </w:style>
  <w:style w:type="paragraph" w:styleId="CommentSubject">
    <w:name w:val="annotation subject"/>
    <w:basedOn w:val="CommentText"/>
    <w:next w:val="CommentText"/>
    <w:link w:val="CommentSubjectChar"/>
    <w:uiPriority w:val="99"/>
    <w:semiHidden/>
    <w:unhideWhenUsed/>
    <w:rsid w:val="009E5C6A"/>
    <w:rPr>
      <w:b/>
      <w:bCs/>
      <w:sz w:val="20"/>
      <w:szCs w:val="20"/>
    </w:rPr>
  </w:style>
  <w:style w:type="character" w:customStyle="1" w:styleId="CommentSubjectChar">
    <w:name w:val="Comment Subject Char"/>
    <w:basedOn w:val="CommentTextChar"/>
    <w:link w:val="CommentSubject"/>
    <w:uiPriority w:val="99"/>
    <w:semiHidden/>
    <w:rsid w:val="009E5C6A"/>
    <w:rPr>
      <w:b/>
      <w:bCs/>
      <w:sz w:val="20"/>
      <w:szCs w:val="20"/>
    </w:rPr>
  </w:style>
  <w:style w:type="character" w:styleId="Hyperlink">
    <w:name w:val="Hyperlink"/>
    <w:basedOn w:val="DefaultParagraphFont"/>
    <w:uiPriority w:val="99"/>
    <w:semiHidden/>
    <w:unhideWhenUsed/>
    <w:rsid w:val="00F0644A"/>
    <w:rPr>
      <w:color w:val="0000FF"/>
      <w:u w:val="single"/>
    </w:rPr>
  </w:style>
  <w:style w:type="character" w:customStyle="1" w:styleId="apple-converted-space">
    <w:name w:val="apple-converted-space"/>
    <w:basedOn w:val="DefaultParagraphFont"/>
    <w:rsid w:val="00F0644A"/>
  </w:style>
  <w:style w:type="paragraph" w:styleId="Revision">
    <w:name w:val="Revision"/>
    <w:hidden/>
    <w:uiPriority w:val="99"/>
    <w:semiHidden/>
    <w:rsid w:val="00215058"/>
    <w:pPr>
      <w:spacing w:line="240" w:lineRule="auto"/>
      <w:jc w:val="left"/>
    </w:pPr>
  </w:style>
  <w:style w:type="character" w:customStyle="1" w:styleId="Heading1Char">
    <w:name w:val="Heading 1 Char"/>
    <w:basedOn w:val="DefaultParagraphFont"/>
    <w:link w:val="Heading1"/>
    <w:rsid w:val="00003EF6"/>
    <w:rPr>
      <w:rFonts w:ascii="Times New Roman" w:eastAsia="Times New Roman" w:hAnsi="Times New Roman" w:cs="Times New Roman"/>
      <w:b/>
      <w:bCs/>
    </w:rPr>
  </w:style>
  <w:style w:type="character" w:customStyle="1" w:styleId="Heading3Char">
    <w:name w:val="Heading 3 Char"/>
    <w:basedOn w:val="DefaultParagraphFont"/>
    <w:link w:val="Heading3"/>
    <w:rsid w:val="00003EF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3448">
      <w:bodyDiv w:val="1"/>
      <w:marLeft w:val="0"/>
      <w:marRight w:val="0"/>
      <w:marTop w:val="0"/>
      <w:marBottom w:val="0"/>
      <w:divBdr>
        <w:top w:val="none" w:sz="0" w:space="0" w:color="auto"/>
        <w:left w:val="none" w:sz="0" w:space="0" w:color="auto"/>
        <w:bottom w:val="none" w:sz="0" w:space="0" w:color="auto"/>
        <w:right w:val="none" w:sz="0" w:space="0" w:color="auto"/>
      </w:divBdr>
    </w:div>
    <w:div w:id="754058250">
      <w:bodyDiv w:val="1"/>
      <w:marLeft w:val="0"/>
      <w:marRight w:val="0"/>
      <w:marTop w:val="0"/>
      <w:marBottom w:val="0"/>
      <w:divBdr>
        <w:top w:val="none" w:sz="0" w:space="0" w:color="auto"/>
        <w:left w:val="none" w:sz="0" w:space="0" w:color="auto"/>
        <w:bottom w:val="none" w:sz="0" w:space="0" w:color="auto"/>
        <w:right w:val="none" w:sz="0" w:space="0" w:color="auto"/>
      </w:divBdr>
    </w:div>
    <w:div w:id="975066204">
      <w:bodyDiv w:val="1"/>
      <w:marLeft w:val="0"/>
      <w:marRight w:val="0"/>
      <w:marTop w:val="0"/>
      <w:marBottom w:val="0"/>
      <w:divBdr>
        <w:top w:val="none" w:sz="0" w:space="0" w:color="auto"/>
        <w:left w:val="none" w:sz="0" w:space="0" w:color="auto"/>
        <w:bottom w:val="none" w:sz="0" w:space="0" w:color="auto"/>
        <w:right w:val="none" w:sz="0" w:space="0" w:color="auto"/>
      </w:divBdr>
    </w:div>
    <w:div w:id="1261990864">
      <w:bodyDiv w:val="1"/>
      <w:marLeft w:val="0"/>
      <w:marRight w:val="0"/>
      <w:marTop w:val="0"/>
      <w:marBottom w:val="0"/>
      <w:divBdr>
        <w:top w:val="none" w:sz="0" w:space="0" w:color="auto"/>
        <w:left w:val="none" w:sz="0" w:space="0" w:color="auto"/>
        <w:bottom w:val="none" w:sz="0" w:space="0" w:color="auto"/>
        <w:right w:val="none" w:sz="0" w:space="0" w:color="auto"/>
      </w:divBdr>
    </w:div>
    <w:div w:id="1331104943">
      <w:bodyDiv w:val="1"/>
      <w:marLeft w:val="0"/>
      <w:marRight w:val="0"/>
      <w:marTop w:val="0"/>
      <w:marBottom w:val="0"/>
      <w:divBdr>
        <w:top w:val="none" w:sz="0" w:space="0" w:color="auto"/>
        <w:left w:val="none" w:sz="0" w:space="0" w:color="auto"/>
        <w:bottom w:val="none" w:sz="0" w:space="0" w:color="auto"/>
        <w:right w:val="none" w:sz="0" w:space="0" w:color="auto"/>
      </w:divBdr>
    </w:div>
    <w:div w:id="1974363462">
      <w:bodyDiv w:val="1"/>
      <w:marLeft w:val="0"/>
      <w:marRight w:val="0"/>
      <w:marTop w:val="0"/>
      <w:marBottom w:val="0"/>
      <w:divBdr>
        <w:top w:val="none" w:sz="0" w:space="0" w:color="auto"/>
        <w:left w:val="none" w:sz="0" w:space="0" w:color="auto"/>
        <w:bottom w:val="none" w:sz="0" w:space="0" w:color="auto"/>
        <w:right w:val="none" w:sz="0" w:space="0" w:color="auto"/>
      </w:divBdr>
    </w:div>
    <w:div w:id="2054189177">
      <w:bodyDiv w:val="1"/>
      <w:marLeft w:val="0"/>
      <w:marRight w:val="0"/>
      <w:marTop w:val="0"/>
      <w:marBottom w:val="0"/>
      <w:divBdr>
        <w:top w:val="none" w:sz="0" w:space="0" w:color="auto"/>
        <w:left w:val="none" w:sz="0" w:space="0" w:color="auto"/>
        <w:bottom w:val="none" w:sz="0" w:space="0" w:color="auto"/>
        <w:right w:val="none" w:sz="0" w:space="0" w:color="auto"/>
      </w:divBdr>
      <w:divsChild>
        <w:div w:id="196365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C8514-AAB5-4EF7-990E-50F53741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Faculty of Advocates</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Mitchell</dc:creator>
  <cp:keywords/>
  <dc:description/>
  <cp:lastModifiedBy>Gaynor Adam</cp:lastModifiedBy>
  <cp:revision>4</cp:revision>
  <dcterms:created xsi:type="dcterms:W3CDTF">2022-01-28T09:46:00Z</dcterms:created>
  <dcterms:modified xsi:type="dcterms:W3CDTF">2022-01-28T10:03:00Z</dcterms:modified>
</cp:coreProperties>
</file>