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6CE0" w14:textId="35538487" w:rsidR="00C84F9C" w:rsidRDefault="00C84F9C" w:rsidP="00C84F9C">
      <w:pPr>
        <w:spacing w:line="360" w:lineRule="auto"/>
        <w:jc w:val="center"/>
        <w:rPr>
          <w:rFonts w:eastAsia="Times New Roman" w:cs="Times New Roman"/>
        </w:rPr>
      </w:pPr>
      <w:bookmarkStart w:id="0" w:name="_GoBack"/>
      <w:bookmarkEnd w:id="0"/>
    </w:p>
    <w:p w14:paraId="6435B4C6" w14:textId="0DF30457" w:rsidR="00C84F9C" w:rsidRDefault="00550EEC" w:rsidP="00C84F9C">
      <w:pPr>
        <w:spacing w:line="360" w:lineRule="auto"/>
        <w:jc w:val="center"/>
        <w:rPr>
          <w:rFonts w:eastAsia="Times New Roman" w:cs="Times New Roman"/>
        </w:rPr>
      </w:pPr>
      <w:r w:rsidRPr="00E96040">
        <w:rPr>
          <w:rFonts w:eastAsia="Times New Roman" w:cs="Times New Roman"/>
          <w:lang w:eastAsia="en-GB"/>
        </w:rPr>
        <w:fldChar w:fldCharType="begin"/>
      </w:r>
      <w:r w:rsidR="001D46AB">
        <w:rPr>
          <w:rFonts w:eastAsia="Times New Roman" w:cs="Times New Roman"/>
          <w:lang w:eastAsia="en-GB"/>
        </w:rPr>
        <w:instrText xml:space="preserve"> INCLUDEPICTURE "C:\\var\\folders\\r_\\c5jyhrwn1q54rqf2kl4jb7ch0000gn\\T\\com.microsoft.Word\\WebArchiveCopyPasteTempFiles\\page1image1301209696" \* MERGEFORMAT </w:instrText>
      </w:r>
      <w:r w:rsidRPr="00E96040">
        <w:rPr>
          <w:rFonts w:eastAsia="Times New Roman" w:cs="Times New Roman"/>
          <w:lang w:eastAsia="en-GB"/>
        </w:rPr>
        <w:fldChar w:fldCharType="separate"/>
      </w:r>
      <w:r w:rsidRPr="00E96040">
        <w:rPr>
          <w:rFonts w:eastAsia="Times New Roman" w:cs="Times New Roman"/>
          <w:noProof/>
          <w:lang w:eastAsia="en-GB"/>
        </w:rPr>
        <w:drawing>
          <wp:inline distT="0" distB="0" distL="0" distR="0" wp14:anchorId="017D993C" wp14:editId="4A6C51D0">
            <wp:extent cx="890905" cy="1163955"/>
            <wp:effectExtent l="0" t="0" r="0" b="4445"/>
            <wp:docPr id="2" name="Picture 2" descr="page1image130120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301209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905" cy="1163955"/>
                    </a:xfrm>
                    <a:prstGeom prst="rect">
                      <a:avLst/>
                    </a:prstGeom>
                    <a:noFill/>
                    <a:ln>
                      <a:noFill/>
                    </a:ln>
                  </pic:spPr>
                </pic:pic>
              </a:graphicData>
            </a:graphic>
          </wp:inline>
        </w:drawing>
      </w:r>
      <w:r w:rsidRPr="00E96040">
        <w:rPr>
          <w:rFonts w:eastAsia="Times New Roman" w:cs="Times New Roman"/>
          <w:lang w:eastAsia="en-GB"/>
        </w:rPr>
        <w:fldChar w:fldCharType="end"/>
      </w:r>
    </w:p>
    <w:p w14:paraId="7B65033E" w14:textId="77777777" w:rsidR="00C84F9C" w:rsidRDefault="00C84F9C" w:rsidP="00C84F9C">
      <w:pPr>
        <w:pStyle w:val="NormalWeb"/>
        <w:spacing w:line="360" w:lineRule="auto"/>
        <w:jc w:val="center"/>
        <w:rPr>
          <w:b/>
          <w:bCs/>
        </w:rPr>
      </w:pPr>
      <w:r>
        <w:t>FACULTY OF ADVOCATES</w:t>
      </w:r>
    </w:p>
    <w:p w14:paraId="6D3A5044" w14:textId="77777777" w:rsidR="00C84F9C" w:rsidRDefault="00C84F9C" w:rsidP="00C84F9C">
      <w:pPr>
        <w:pStyle w:val="NormalWeb"/>
        <w:spacing w:line="360" w:lineRule="auto"/>
        <w:jc w:val="center"/>
        <w:rPr>
          <w:b/>
          <w:bCs/>
        </w:rPr>
      </w:pPr>
      <w:r>
        <w:rPr>
          <w:b/>
          <w:bCs/>
        </w:rPr>
        <w:t xml:space="preserve">Response from the Faculty of Advocates </w:t>
      </w:r>
    </w:p>
    <w:p w14:paraId="71262C86" w14:textId="77777777" w:rsidR="00C84F9C" w:rsidRDefault="00C84F9C" w:rsidP="00C84F9C">
      <w:pPr>
        <w:pStyle w:val="NormalWeb"/>
        <w:spacing w:line="360" w:lineRule="auto"/>
        <w:jc w:val="center"/>
        <w:rPr>
          <w:b/>
          <w:bCs/>
        </w:rPr>
      </w:pPr>
      <w:r>
        <w:rPr>
          <w:b/>
          <w:bCs/>
        </w:rPr>
        <w:t>to</w:t>
      </w:r>
    </w:p>
    <w:p w14:paraId="6086F934" w14:textId="77777777" w:rsidR="00C84F9C" w:rsidRDefault="00C84F9C" w:rsidP="00C84F9C">
      <w:pPr>
        <w:pStyle w:val="NormalWeb"/>
        <w:spacing w:line="360" w:lineRule="auto"/>
        <w:jc w:val="center"/>
        <w:rPr>
          <w:b/>
          <w:bCs/>
        </w:rPr>
      </w:pPr>
      <w:r>
        <w:rPr>
          <w:b/>
          <w:bCs/>
        </w:rPr>
        <w:t>The Consultation on</w:t>
      </w:r>
    </w:p>
    <w:p w14:paraId="351328B7" w14:textId="77777777" w:rsidR="00C84F9C" w:rsidRDefault="00C84F9C" w:rsidP="00C84F9C">
      <w:pPr>
        <w:pStyle w:val="NormalWeb"/>
        <w:spacing w:line="360" w:lineRule="auto"/>
        <w:jc w:val="center"/>
        <w:rPr>
          <w:b/>
          <w:bCs/>
        </w:rPr>
      </w:pPr>
      <w:r>
        <w:rPr>
          <w:b/>
          <w:bCs/>
        </w:rPr>
        <w:t>Data: A New Direction</w:t>
      </w:r>
    </w:p>
    <w:p w14:paraId="3B0DD2BE" w14:textId="77777777" w:rsidR="00C84F9C" w:rsidRDefault="00C84F9C" w:rsidP="00C84F9C">
      <w:pPr>
        <w:pStyle w:val="NormalWeb"/>
        <w:spacing w:line="360" w:lineRule="auto"/>
        <w:rPr>
          <w:b/>
          <w:bCs/>
        </w:rPr>
      </w:pPr>
    </w:p>
    <w:p w14:paraId="1C5A89D5" w14:textId="77777777" w:rsidR="00C84F9C" w:rsidRDefault="00C84F9C" w:rsidP="00C84F9C">
      <w:pPr>
        <w:pStyle w:val="NormalWeb"/>
        <w:spacing w:line="360" w:lineRule="auto"/>
        <w:jc w:val="both"/>
      </w:pPr>
      <w:r>
        <w:rPr>
          <w:b/>
          <w:bCs/>
        </w:rPr>
        <w:t>Introduction</w:t>
      </w:r>
    </w:p>
    <w:p w14:paraId="6D910E6D" w14:textId="77777777" w:rsidR="00B6074F" w:rsidRDefault="00C84F9C" w:rsidP="00B6074F">
      <w:pPr>
        <w:pStyle w:val="NormalWeb"/>
        <w:spacing w:line="360" w:lineRule="auto"/>
        <w:jc w:val="both"/>
      </w:pPr>
      <w:r>
        <w:t>The Faculty of Advocates is grateful for the opportunity to respond to the consultation entitled “Data: A New Direction”.</w:t>
      </w:r>
    </w:p>
    <w:p w14:paraId="5C66EEC7" w14:textId="77777777" w:rsidR="00B6074F" w:rsidRDefault="00B6074F" w:rsidP="00B6074F">
      <w:pPr>
        <w:pStyle w:val="NormalWeb"/>
        <w:spacing w:line="360" w:lineRule="auto"/>
        <w:jc w:val="both"/>
      </w:pPr>
    </w:p>
    <w:p w14:paraId="69F59A8C" w14:textId="47F065B9" w:rsidR="00C84F9C" w:rsidRPr="00B6074F" w:rsidRDefault="00C84F9C" w:rsidP="00B6074F">
      <w:pPr>
        <w:pStyle w:val="NormalWeb"/>
        <w:spacing w:line="360" w:lineRule="auto"/>
        <w:jc w:val="both"/>
      </w:pPr>
      <w:r>
        <w:t>The proposed package of reforms aims to “</w:t>
      </w:r>
      <w:r>
        <w:rPr>
          <w:color w:val="0B0C0C"/>
        </w:rPr>
        <w:t>create an ambitious, pro-growth and innovation-friendly data protection regime that underpins the trustworthy use of data”. In this regard the package of proposed reforms specifically seeks to</w:t>
      </w:r>
      <w:r w:rsidR="00B71870">
        <w:rPr>
          <w:color w:val="0B0C0C"/>
        </w:rPr>
        <w:t>:</w:t>
      </w:r>
      <w:r>
        <w:rPr>
          <w:color w:val="0B0C0C"/>
        </w:rPr>
        <w:t xml:space="preserve"> (i) reduce barriers to innovation; (ii) reduce burdens on businesses and deliver better outcomes for people; (iii) boosting trade and reducing barriers to data flows; (iv) delivering better pu</w:t>
      </w:r>
      <w:r w:rsidR="00B6074F">
        <w:rPr>
          <w:color w:val="0B0C0C"/>
        </w:rPr>
        <w:t>blic services; and (v) reform</w:t>
      </w:r>
      <w:r>
        <w:rPr>
          <w:color w:val="0B0C0C"/>
        </w:rPr>
        <w:t xml:space="preserve"> the Information Commissioner’s Office. </w:t>
      </w:r>
    </w:p>
    <w:p w14:paraId="0E36D71C" w14:textId="77777777" w:rsidR="00C84F9C" w:rsidRDefault="00C84F9C" w:rsidP="00C84F9C">
      <w:pPr>
        <w:spacing w:line="360" w:lineRule="auto"/>
        <w:jc w:val="both"/>
        <w:rPr>
          <w:rFonts w:eastAsia="Times New Roman" w:cs="Times New Roman"/>
          <w:color w:val="0B0C0C"/>
        </w:rPr>
      </w:pPr>
    </w:p>
    <w:p w14:paraId="68E71660" w14:textId="18DD2A56" w:rsidR="00C84F9C" w:rsidRDefault="00C84F9C" w:rsidP="00C84F9C">
      <w:pPr>
        <w:spacing w:line="360" w:lineRule="auto"/>
        <w:jc w:val="both"/>
        <w:rPr>
          <w:rFonts w:eastAsia="Times New Roman" w:cs="Times New Roman"/>
          <w:color w:val="0B0C0C"/>
        </w:rPr>
      </w:pPr>
      <w:r>
        <w:rPr>
          <w:rFonts w:eastAsia="Times New Roman" w:cs="Times New Roman"/>
          <w:color w:val="0B0C0C"/>
        </w:rPr>
        <w:t>The Faculty of Advocates is of the view that the proposed reforms</w:t>
      </w:r>
      <w:r w:rsidR="00B5182D">
        <w:rPr>
          <w:rFonts w:eastAsia="Times New Roman" w:cs="Times New Roman"/>
          <w:color w:val="0B0C0C"/>
        </w:rPr>
        <w:t>,</w:t>
      </w:r>
      <w:r>
        <w:rPr>
          <w:rFonts w:eastAsia="Times New Roman" w:cs="Times New Roman"/>
          <w:color w:val="0B0C0C"/>
        </w:rPr>
        <w:t xml:space="preserve"> although laudable in their intention</w:t>
      </w:r>
      <w:r w:rsidR="00B5182D">
        <w:rPr>
          <w:rFonts w:eastAsia="Times New Roman" w:cs="Times New Roman"/>
          <w:color w:val="0B0C0C"/>
        </w:rPr>
        <w:t>,</w:t>
      </w:r>
      <w:r>
        <w:rPr>
          <w:rFonts w:eastAsia="Times New Roman" w:cs="Times New Roman"/>
          <w:color w:val="0B0C0C"/>
        </w:rPr>
        <w:t xml:space="preserve"> proceed on the assumption that law reform in itself can achieve the five policy objectives listed above. </w:t>
      </w:r>
    </w:p>
    <w:p w14:paraId="04524C7A" w14:textId="77777777" w:rsidR="00C84F9C" w:rsidRDefault="00C84F9C" w:rsidP="00C84F9C">
      <w:pPr>
        <w:spacing w:line="360" w:lineRule="auto"/>
        <w:jc w:val="both"/>
        <w:rPr>
          <w:rFonts w:eastAsia="Times New Roman" w:cs="Times New Roman"/>
          <w:color w:val="0B0C0C"/>
        </w:rPr>
      </w:pPr>
    </w:p>
    <w:p w14:paraId="644C9180" w14:textId="77ADF6D6" w:rsidR="00C84F9C" w:rsidRDefault="00C84F9C" w:rsidP="00C84F9C">
      <w:pPr>
        <w:spacing w:line="360" w:lineRule="auto"/>
        <w:jc w:val="both"/>
        <w:rPr>
          <w:rFonts w:eastAsia="Times New Roman" w:cs="Times New Roman"/>
          <w:color w:val="0B0C0C"/>
        </w:rPr>
      </w:pPr>
      <w:r>
        <w:rPr>
          <w:rFonts w:eastAsia="Times New Roman" w:cs="Times New Roman"/>
          <w:color w:val="0B0C0C"/>
        </w:rPr>
        <w:t>While the case has been made for some nuanced and incremental reforms</w:t>
      </w:r>
      <w:r w:rsidR="00B71870">
        <w:rPr>
          <w:rFonts w:eastAsia="Times New Roman" w:cs="Times New Roman"/>
          <w:color w:val="0B0C0C"/>
        </w:rPr>
        <w:t>,</w:t>
      </w:r>
      <w:r>
        <w:rPr>
          <w:rFonts w:eastAsia="Times New Roman" w:cs="Times New Roman"/>
          <w:color w:val="0B0C0C"/>
        </w:rPr>
        <w:t xml:space="preserve"> which elaborate and improve upon the provisions of the Data Protection Act 2018 and the </w:t>
      </w:r>
      <w:r w:rsidR="00DC66E9">
        <w:rPr>
          <w:rFonts w:eastAsia="Times New Roman" w:cs="Times New Roman"/>
          <w:color w:val="0B0C0C"/>
        </w:rPr>
        <w:t>philosophy</w:t>
      </w:r>
      <w:r>
        <w:rPr>
          <w:rFonts w:eastAsia="Times New Roman" w:cs="Times New Roman"/>
          <w:color w:val="0B0C0C"/>
        </w:rPr>
        <w:t xml:space="preserve"> therein flowing from the GDPR, it is premature to suggest in the current post-Brexit social, economic, </w:t>
      </w:r>
      <w:r>
        <w:rPr>
          <w:rFonts w:eastAsia="Times New Roman" w:cs="Times New Roman"/>
          <w:color w:val="0B0C0C"/>
        </w:rPr>
        <w:lastRenderedPageBreak/>
        <w:t xml:space="preserve">and political landscape that a radical overhaul of the United Kingdom’s Data Protection regime is necessary or desirable to achieve the aforementioned policy objectives. </w:t>
      </w:r>
    </w:p>
    <w:p w14:paraId="6876C9A4" w14:textId="77777777" w:rsidR="00C84F9C" w:rsidRDefault="00C84F9C" w:rsidP="00C84F9C">
      <w:pPr>
        <w:spacing w:line="360" w:lineRule="auto"/>
        <w:jc w:val="both"/>
        <w:rPr>
          <w:rFonts w:eastAsia="Times New Roman" w:cs="Times New Roman"/>
          <w:color w:val="0B0C0C"/>
        </w:rPr>
      </w:pPr>
    </w:p>
    <w:p w14:paraId="3022993B" w14:textId="2A2C10A5" w:rsidR="00C84F9C" w:rsidRDefault="00DC66E9" w:rsidP="00C84F9C">
      <w:pPr>
        <w:spacing w:line="360" w:lineRule="auto"/>
        <w:jc w:val="both"/>
        <w:rPr>
          <w:rFonts w:eastAsia="Times New Roman" w:cs="Times New Roman"/>
          <w:color w:val="0B0C0C"/>
        </w:rPr>
      </w:pPr>
      <w:r>
        <w:rPr>
          <w:rFonts w:eastAsia="Times New Roman" w:cs="Times New Roman"/>
          <w:color w:val="0B0C0C"/>
        </w:rPr>
        <w:t>It is the position of t</w:t>
      </w:r>
      <w:r w:rsidR="00C84F9C">
        <w:rPr>
          <w:rFonts w:eastAsia="Times New Roman" w:cs="Times New Roman"/>
          <w:color w:val="0B0C0C"/>
        </w:rPr>
        <w:t xml:space="preserve">he Faculty of Advocates that any reforms should be nuanced and incremental, improving and elaborating upon the existing Data Protection regime under the Data Protection Act 2018 and GDPR, while focussing on strengthening, sustaining, and safeguarding public confidence in the provision, processing, and protection of personal data to achieve the aforementioned policy objectives. </w:t>
      </w:r>
    </w:p>
    <w:p w14:paraId="7B674DA4" w14:textId="77777777" w:rsidR="00C84F9C" w:rsidRDefault="00C84F9C" w:rsidP="00C84F9C">
      <w:pPr>
        <w:spacing w:line="360" w:lineRule="auto"/>
        <w:jc w:val="both"/>
        <w:rPr>
          <w:b/>
          <w:bCs/>
        </w:rPr>
      </w:pPr>
    </w:p>
    <w:p w14:paraId="3A5D418E" w14:textId="451A7ADF" w:rsidR="00C84F9C" w:rsidRDefault="00C84F9C" w:rsidP="00C84F9C">
      <w:pPr>
        <w:pStyle w:val="NormalWeb"/>
        <w:spacing w:line="360" w:lineRule="auto"/>
        <w:rPr>
          <w:b/>
          <w:bCs/>
        </w:rPr>
      </w:pPr>
      <w:r>
        <w:rPr>
          <w:b/>
          <w:bCs/>
        </w:rPr>
        <w:t>The Data Protection Regime under the Data Protection Act 2018 and GDPR</w:t>
      </w:r>
    </w:p>
    <w:p w14:paraId="23E8A53D" w14:textId="77777777" w:rsidR="00C84F9C" w:rsidRDefault="00C84F9C" w:rsidP="00C84F9C">
      <w:pPr>
        <w:pStyle w:val="NormalWeb"/>
        <w:spacing w:line="360" w:lineRule="auto"/>
      </w:pPr>
    </w:p>
    <w:p w14:paraId="26A8A540" w14:textId="6422F55D" w:rsidR="00C84F9C" w:rsidRDefault="00C84F9C" w:rsidP="00C84F9C">
      <w:pPr>
        <w:spacing w:line="360" w:lineRule="auto"/>
        <w:jc w:val="both"/>
        <w:rPr>
          <w:rFonts w:cs="Times New Roman"/>
        </w:rPr>
      </w:pPr>
      <w:r>
        <w:rPr>
          <w:rFonts w:cs="Times New Roman"/>
        </w:rPr>
        <w:t>Prior to the departure of the United Kingdom from the European Union, the GDPR was intended as a means of harmonising Data Protection Law, while serving as a catalyst for greater clarity, consistency, and confidence in</w:t>
      </w:r>
      <w:r w:rsidR="007A51B9">
        <w:rPr>
          <w:rFonts w:cs="Times New Roman"/>
        </w:rPr>
        <w:t xml:space="preserve"> Data Protection regimes among Member S</w:t>
      </w:r>
      <w:r>
        <w:rPr>
          <w:rFonts w:cs="Times New Roman"/>
        </w:rPr>
        <w:t>tates, with the ultimate result of furthering the Digital Single Market.</w:t>
      </w:r>
    </w:p>
    <w:p w14:paraId="2ED858B9" w14:textId="77777777" w:rsidR="00C84F9C" w:rsidRDefault="00C84F9C" w:rsidP="00C84F9C">
      <w:pPr>
        <w:spacing w:line="360" w:lineRule="auto"/>
        <w:jc w:val="both"/>
        <w:rPr>
          <w:rFonts w:cs="Times New Roman"/>
        </w:rPr>
      </w:pPr>
    </w:p>
    <w:p w14:paraId="3CD08E32" w14:textId="77777777" w:rsidR="00C84F9C" w:rsidRDefault="00C84F9C" w:rsidP="00C84F9C">
      <w:pPr>
        <w:spacing w:line="360" w:lineRule="auto"/>
        <w:jc w:val="both"/>
        <w:rPr>
          <w:rFonts w:cs="Times New Roman"/>
        </w:rPr>
      </w:pPr>
      <w:r>
        <w:rPr>
          <w:rFonts w:cs="Times New Roman"/>
        </w:rPr>
        <w:t xml:space="preserve">In achieving this objective, the architecture of this law was ultimately guided by principle, with the Data Protection Principles being enshrined in Article 5 of the GDPR and subsequently Sections 35 to 40 of the Data Protection Act 2018. </w:t>
      </w:r>
    </w:p>
    <w:p w14:paraId="27EBD79A" w14:textId="77777777" w:rsidR="00C84F9C" w:rsidRDefault="00C84F9C" w:rsidP="00C84F9C">
      <w:pPr>
        <w:spacing w:line="360" w:lineRule="auto"/>
        <w:jc w:val="both"/>
        <w:rPr>
          <w:rFonts w:cs="Times New Roman"/>
        </w:rPr>
      </w:pPr>
    </w:p>
    <w:p w14:paraId="1DBAF4B5" w14:textId="77777777" w:rsidR="00C84F9C" w:rsidRDefault="00C84F9C" w:rsidP="00C84F9C">
      <w:pPr>
        <w:spacing w:line="360" w:lineRule="auto"/>
        <w:jc w:val="both"/>
        <w:rPr>
          <w:rFonts w:cs="Times New Roman"/>
        </w:rPr>
      </w:pPr>
      <w:r>
        <w:rPr>
          <w:rFonts w:cs="Times New Roman"/>
        </w:rPr>
        <w:t>From principle it was intended that there would emerge practice. From practice would emerge predictability. Through predictability, public confidence would be increased in data processing, in turn enabling the socio-economic benefits of data processing to be realised.</w:t>
      </w:r>
    </w:p>
    <w:p w14:paraId="284A7B5A" w14:textId="77777777" w:rsidR="00C84F9C" w:rsidRDefault="00C84F9C" w:rsidP="00C84F9C">
      <w:pPr>
        <w:spacing w:line="360" w:lineRule="auto"/>
        <w:jc w:val="both"/>
        <w:rPr>
          <w:rFonts w:cs="Times New Roman"/>
        </w:rPr>
      </w:pPr>
    </w:p>
    <w:p w14:paraId="4C6AFCFE" w14:textId="2C2BE899" w:rsidR="00C84F9C" w:rsidRDefault="00C84F9C" w:rsidP="00C84F9C">
      <w:pPr>
        <w:spacing w:line="360" w:lineRule="auto"/>
        <w:jc w:val="both"/>
        <w:rPr>
          <w:rFonts w:cs="Times New Roman"/>
        </w:rPr>
      </w:pPr>
      <w:r>
        <w:rPr>
          <w:rFonts w:cs="Times New Roman"/>
        </w:rPr>
        <w:t>The Faculty of Advocates maintains the view that with it</w:t>
      </w:r>
      <w:r w:rsidR="00B5182D">
        <w:rPr>
          <w:rFonts w:cs="Times New Roman"/>
        </w:rPr>
        <w:t>s</w:t>
      </w:r>
      <w:r>
        <w:rPr>
          <w:rFonts w:cs="Times New Roman"/>
        </w:rPr>
        <w:t xml:space="preserve"> being less than four years since the enforcement of the GDPR in the European Union, and the Data Protection Act 2018 within the United Kingdom, it is </w:t>
      </w:r>
      <w:r w:rsidR="00B5182D">
        <w:rPr>
          <w:rFonts w:cs="Times New Roman"/>
        </w:rPr>
        <w:t>difficult</w:t>
      </w:r>
      <w:r>
        <w:rPr>
          <w:rFonts w:cs="Times New Roman"/>
        </w:rPr>
        <w:t xml:space="preserve"> to advance any empirical or logical basis as to why this regime is no longer fit for purpose. </w:t>
      </w:r>
    </w:p>
    <w:p w14:paraId="3F78792F" w14:textId="77777777" w:rsidR="00C84F9C" w:rsidRDefault="00C84F9C" w:rsidP="00C84F9C">
      <w:pPr>
        <w:spacing w:line="360" w:lineRule="auto"/>
        <w:jc w:val="both"/>
        <w:rPr>
          <w:rFonts w:cs="Times New Roman"/>
        </w:rPr>
      </w:pPr>
    </w:p>
    <w:p w14:paraId="0BCDE2E8" w14:textId="743438C3" w:rsidR="00C84F9C" w:rsidRDefault="00C84F9C" w:rsidP="00C84F9C">
      <w:pPr>
        <w:spacing w:line="360" w:lineRule="auto"/>
        <w:jc w:val="both"/>
        <w:rPr>
          <w:rFonts w:cs="Times New Roman"/>
        </w:rPr>
      </w:pPr>
      <w:r>
        <w:rPr>
          <w:rFonts w:cs="Times New Roman"/>
        </w:rPr>
        <w:t>It is suggested that greater engagement with the public</w:t>
      </w:r>
      <w:r w:rsidR="0066422A">
        <w:rPr>
          <w:rFonts w:cs="Times New Roman"/>
        </w:rPr>
        <w:t xml:space="preserve">, </w:t>
      </w:r>
      <w:r>
        <w:rPr>
          <w:rFonts w:cs="Times New Roman"/>
        </w:rPr>
        <w:t>private</w:t>
      </w:r>
      <w:r w:rsidR="0066422A">
        <w:rPr>
          <w:rFonts w:cs="Times New Roman"/>
        </w:rPr>
        <w:t xml:space="preserve">, and third </w:t>
      </w:r>
      <w:r>
        <w:rPr>
          <w:rFonts w:cs="Times New Roman"/>
        </w:rPr>
        <w:t>sector</w:t>
      </w:r>
      <w:r w:rsidR="0066422A">
        <w:rPr>
          <w:rFonts w:cs="Times New Roman"/>
        </w:rPr>
        <w:t>s</w:t>
      </w:r>
      <w:r>
        <w:rPr>
          <w:rFonts w:cs="Times New Roman"/>
        </w:rPr>
        <w:t xml:space="preserve"> over an extended time-period to identify any perceived strengths, weaknesses, and areas for improvement in the existing Data Protection regime would be prudent, after which time the question of wholesale reform may be revisited. Until such a basis is clearly identified, it is the </w:t>
      </w:r>
      <w:r>
        <w:rPr>
          <w:rFonts w:cs="Times New Roman"/>
        </w:rPr>
        <w:lastRenderedPageBreak/>
        <w:t xml:space="preserve">position of </w:t>
      </w:r>
      <w:r w:rsidR="00DC66E9">
        <w:rPr>
          <w:rFonts w:cs="Times New Roman"/>
        </w:rPr>
        <w:t>t</w:t>
      </w:r>
      <w:r>
        <w:rPr>
          <w:rFonts w:cs="Times New Roman"/>
        </w:rPr>
        <w:t>he Faculty of Advocates that any reform should be limited to nuanced and incremental changes for the purposes of improving the existing Data Protection regime</w:t>
      </w:r>
      <w:r w:rsidR="007A51B9">
        <w:rPr>
          <w:rFonts w:cs="Times New Roman"/>
        </w:rPr>
        <w:t>, as opposed to wholesale change</w:t>
      </w:r>
      <w:r>
        <w:rPr>
          <w:rFonts w:cs="Times New Roman"/>
        </w:rPr>
        <w:t xml:space="preserve">s. </w:t>
      </w:r>
    </w:p>
    <w:p w14:paraId="7486A828" w14:textId="77777777" w:rsidR="00C84F9C" w:rsidRDefault="00C84F9C" w:rsidP="00C84F9C">
      <w:pPr>
        <w:spacing w:line="360" w:lineRule="auto"/>
        <w:jc w:val="both"/>
        <w:rPr>
          <w:rFonts w:cs="Times New Roman"/>
        </w:rPr>
      </w:pPr>
    </w:p>
    <w:p w14:paraId="6CEE0A7A" w14:textId="77777777" w:rsidR="00C84F9C" w:rsidRDefault="00C84F9C" w:rsidP="00C84F9C">
      <w:pPr>
        <w:spacing w:line="360" w:lineRule="auto"/>
        <w:jc w:val="both"/>
        <w:rPr>
          <w:rFonts w:cs="Times New Roman"/>
          <w:b/>
          <w:bCs/>
        </w:rPr>
      </w:pPr>
      <w:r>
        <w:rPr>
          <w:rFonts w:cs="Times New Roman"/>
          <w:b/>
          <w:bCs/>
        </w:rPr>
        <w:t>Reducing Barriers to Innovation</w:t>
      </w:r>
    </w:p>
    <w:p w14:paraId="0314E595" w14:textId="77777777" w:rsidR="00C84F9C" w:rsidRDefault="00C84F9C" w:rsidP="00C84F9C">
      <w:pPr>
        <w:spacing w:line="360" w:lineRule="auto"/>
        <w:jc w:val="both"/>
        <w:rPr>
          <w:rFonts w:cs="Times New Roman"/>
          <w:b/>
          <w:bCs/>
        </w:rPr>
      </w:pPr>
    </w:p>
    <w:p w14:paraId="53B830F6" w14:textId="71F7B17A" w:rsidR="00C84F9C" w:rsidRDefault="00C84F9C" w:rsidP="00C84F9C">
      <w:pPr>
        <w:spacing w:line="360" w:lineRule="auto"/>
        <w:jc w:val="both"/>
        <w:rPr>
          <w:rFonts w:cs="Times New Roman"/>
        </w:rPr>
      </w:pPr>
      <w:r>
        <w:rPr>
          <w:rFonts w:cs="Times New Roman"/>
        </w:rPr>
        <w:t>The Faculty of Advocates maintains the position that any reforms should be nuanced and incremental in aim</w:t>
      </w:r>
      <w:r w:rsidR="00B5182D">
        <w:rPr>
          <w:rFonts w:cs="Times New Roman"/>
        </w:rPr>
        <w:t>ing</w:t>
      </w:r>
      <w:r>
        <w:rPr>
          <w:rFonts w:cs="Times New Roman"/>
        </w:rPr>
        <w:t xml:space="preserve"> to reduce barriers to innovation. </w:t>
      </w:r>
    </w:p>
    <w:p w14:paraId="5C3B312C" w14:textId="77777777" w:rsidR="00C84F9C" w:rsidRDefault="00C84F9C" w:rsidP="00C84F9C">
      <w:pPr>
        <w:spacing w:line="360" w:lineRule="auto"/>
        <w:jc w:val="both"/>
        <w:rPr>
          <w:rFonts w:cs="Times New Roman"/>
        </w:rPr>
      </w:pPr>
    </w:p>
    <w:p w14:paraId="65DA53BA" w14:textId="77777777" w:rsidR="00C84F9C" w:rsidRDefault="00C84F9C" w:rsidP="00C84F9C">
      <w:pPr>
        <w:spacing w:line="360" w:lineRule="auto"/>
        <w:jc w:val="both"/>
        <w:rPr>
          <w:rFonts w:cs="Times New Roman"/>
        </w:rPr>
      </w:pPr>
      <w:r>
        <w:rPr>
          <w:rFonts w:cs="Times New Roman"/>
        </w:rPr>
        <w:t xml:space="preserve">The relationship between law and technology is that the former has historically always been a step behind the latter. Legislative approaches to combat this situation broadly fall into two categories. </w:t>
      </w:r>
    </w:p>
    <w:p w14:paraId="03CAF23F" w14:textId="77777777" w:rsidR="00C84F9C" w:rsidRDefault="00C84F9C" w:rsidP="00C84F9C">
      <w:pPr>
        <w:spacing w:line="360" w:lineRule="auto"/>
        <w:jc w:val="both"/>
        <w:rPr>
          <w:rFonts w:cs="Times New Roman"/>
        </w:rPr>
      </w:pPr>
    </w:p>
    <w:p w14:paraId="1BBC0F0A" w14:textId="633C95B4" w:rsidR="00C84F9C" w:rsidRDefault="00C84F9C" w:rsidP="00C84F9C">
      <w:pPr>
        <w:spacing w:line="360" w:lineRule="auto"/>
        <w:jc w:val="both"/>
        <w:rPr>
          <w:rFonts w:cs="Times New Roman"/>
        </w:rPr>
      </w:pPr>
      <w:r>
        <w:rPr>
          <w:rFonts w:cs="Times New Roman"/>
        </w:rPr>
        <w:t xml:space="preserve">Firstly, the law can be drafted in highly specific terms in the interests of legal certainty. This however has the potential to straitjacket </w:t>
      </w:r>
      <w:r w:rsidR="002059A4">
        <w:rPr>
          <w:rFonts w:cs="Times New Roman"/>
        </w:rPr>
        <w:t>its</w:t>
      </w:r>
      <w:r>
        <w:rPr>
          <w:rFonts w:cs="Times New Roman"/>
        </w:rPr>
        <w:t xml:space="preserve"> </w:t>
      </w:r>
      <w:r w:rsidR="007A51B9">
        <w:rPr>
          <w:rFonts w:cs="Times New Roman"/>
        </w:rPr>
        <w:t>application to</w:t>
      </w:r>
      <w:r>
        <w:rPr>
          <w:rFonts w:cs="Times New Roman"/>
        </w:rPr>
        <w:t xml:space="preserve"> new technologies and scenarios and potentially inhibit fundamental freedoms, rights, or socio-economic benefits </w:t>
      </w:r>
      <w:r w:rsidR="007304B8">
        <w:rPr>
          <w:rFonts w:cs="Times New Roman"/>
        </w:rPr>
        <w:t>which might otherwise result</w:t>
      </w:r>
      <w:r>
        <w:rPr>
          <w:rFonts w:cs="Times New Roman"/>
        </w:rPr>
        <w:t>. Separately</w:t>
      </w:r>
      <w:r w:rsidR="007A51B9">
        <w:rPr>
          <w:rFonts w:cs="Times New Roman"/>
        </w:rPr>
        <w:t>,</w:t>
      </w:r>
      <w:r>
        <w:rPr>
          <w:rFonts w:cs="Times New Roman"/>
        </w:rPr>
        <w:t xml:space="preserve"> this approach may </w:t>
      </w:r>
      <w:r w:rsidR="00A064EF">
        <w:rPr>
          <w:rFonts w:cs="Times New Roman"/>
        </w:rPr>
        <w:t>lead to the law becoming</w:t>
      </w:r>
      <w:r>
        <w:rPr>
          <w:rFonts w:cs="Times New Roman"/>
        </w:rPr>
        <w:t xml:space="preserve"> obsolete</w:t>
      </w:r>
      <w:r w:rsidR="00A064EF">
        <w:rPr>
          <w:rFonts w:cs="Times New Roman"/>
        </w:rPr>
        <w:t>,</w:t>
      </w:r>
      <w:r>
        <w:rPr>
          <w:rFonts w:cs="Times New Roman"/>
        </w:rPr>
        <w:t xml:space="preserve"> or requiring a supplementary patchwork of further legislation, or </w:t>
      </w:r>
      <w:r w:rsidR="007304B8">
        <w:rPr>
          <w:rFonts w:cs="Times New Roman"/>
        </w:rPr>
        <w:t>j</w:t>
      </w:r>
      <w:r>
        <w:rPr>
          <w:rFonts w:cs="Times New Roman"/>
        </w:rPr>
        <w:t>udicial interpretation</w:t>
      </w:r>
      <w:r w:rsidR="00A064EF">
        <w:rPr>
          <w:rFonts w:cs="Times New Roman"/>
        </w:rPr>
        <w:t xml:space="preserve">, </w:t>
      </w:r>
      <w:r>
        <w:rPr>
          <w:rFonts w:cs="Times New Roman"/>
        </w:rPr>
        <w:t xml:space="preserve">to allow for </w:t>
      </w:r>
      <w:r w:rsidR="007304B8">
        <w:rPr>
          <w:rFonts w:cs="Times New Roman"/>
        </w:rPr>
        <w:t>its</w:t>
      </w:r>
      <w:r>
        <w:rPr>
          <w:rFonts w:cs="Times New Roman"/>
        </w:rPr>
        <w:t xml:space="preserve"> continued effective and proportionate operation. </w:t>
      </w:r>
    </w:p>
    <w:p w14:paraId="1899B64C" w14:textId="77777777" w:rsidR="00C84F9C" w:rsidRDefault="00C84F9C" w:rsidP="00C84F9C">
      <w:pPr>
        <w:spacing w:line="360" w:lineRule="auto"/>
        <w:jc w:val="both"/>
        <w:rPr>
          <w:rFonts w:cs="Times New Roman"/>
        </w:rPr>
      </w:pPr>
    </w:p>
    <w:p w14:paraId="5BF335E8" w14:textId="26480FA8" w:rsidR="00C84F9C" w:rsidRDefault="00C84F9C" w:rsidP="00C84F9C">
      <w:pPr>
        <w:spacing w:line="360" w:lineRule="auto"/>
        <w:jc w:val="both"/>
        <w:rPr>
          <w:rFonts w:cs="Times New Roman"/>
        </w:rPr>
      </w:pPr>
      <w:r>
        <w:rPr>
          <w:rFonts w:cs="Times New Roman"/>
        </w:rPr>
        <w:t xml:space="preserve">Secondly, the law can be drafted in broader terms in the interests of flexibility. This however results in a lack of legal certainty, </w:t>
      </w:r>
      <w:r w:rsidR="007A51B9">
        <w:rPr>
          <w:rFonts w:cs="Times New Roman"/>
        </w:rPr>
        <w:t xml:space="preserve">with </w:t>
      </w:r>
      <w:r>
        <w:rPr>
          <w:rFonts w:cs="Times New Roman"/>
        </w:rPr>
        <w:t xml:space="preserve">an increased emphasis on the role of the Judiciary in the interpretation and development thereof, as well as a greater reliance on principle as a guide to practice. </w:t>
      </w:r>
    </w:p>
    <w:p w14:paraId="1C67FD3E" w14:textId="77777777" w:rsidR="00C84F9C" w:rsidRDefault="00C84F9C" w:rsidP="00C84F9C">
      <w:pPr>
        <w:spacing w:line="360" w:lineRule="auto"/>
        <w:jc w:val="both"/>
        <w:rPr>
          <w:rFonts w:cs="Times New Roman"/>
        </w:rPr>
      </w:pPr>
    </w:p>
    <w:p w14:paraId="5C6B05F1" w14:textId="3D9B8A8A" w:rsidR="00C84F9C" w:rsidRDefault="00C84F9C" w:rsidP="00C84F9C">
      <w:pPr>
        <w:spacing w:line="360" w:lineRule="auto"/>
        <w:jc w:val="both"/>
        <w:rPr>
          <w:rFonts w:cs="Times New Roman"/>
        </w:rPr>
      </w:pPr>
      <w:r>
        <w:rPr>
          <w:rFonts w:cs="Times New Roman"/>
        </w:rPr>
        <w:t>The Faculty of Advocates considers that the latter approach in the context of our current principles-based regime of Data Protection Law is more conducive to ensuring</w:t>
      </w:r>
      <w:r w:rsidR="00A064EF">
        <w:rPr>
          <w:rFonts w:cs="Times New Roman"/>
        </w:rPr>
        <w:t>:</w:t>
      </w:r>
      <w:r>
        <w:rPr>
          <w:rFonts w:cs="Times New Roman"/>
        </w:rPr>
        <w:t xml:space="preserve"> (i) the adaptability of the law to new technologies and scenarios; (ii) heightened vigilance </w:t>
      </w:r>
      <w:r w:rsidR="00626FC7">
        <w:rPr>
          <w:rFonts w:cs="Times New Roman"/>
        </w:rPr>
        <w:t xml:space="preserve">on the part of </w:t>
      </w:r>
      <w:r>
        <w:rPr>
          <w:rFonts w:cs="Times New Roman"/>
        </w:rPr>
        <w:t>data controllers and processors</w:t>
      </w:r>
      <w:r w:rsidR="00626FC7">
        <w:rPr>
          <w:rFonts w:cs="Times New Roman"/>
        </w:rPr>
        <w:t xml:space="preserve"> that the</w:t>
      </w:r>
      <w:r>
        <w:rPr>
          <w:rFonts w:cs="Times New Roman"/>
        </w:rPr>
        <w:t xml:space="preserve"> use of personal data continues to be responsible and in accordance with principle and practice; </w:t>
      </w:r>
      <w:r w:rsidR="00924D89">
        <w:rPr>
          <w:rFonts w:cs="Times New Roman"/>
        </w:rPr>
        <w:t xml:space="preserve">and </w:t>
      </w:r>
      <w:r>
        <w:rPr>
          <w:rFonts w:cs="Times New Roman"/>
        </w:rPr>
        <w:t xml:space="preserve">(iii) </w:t>
      </w:r>
      <w:r w:rsidR="007304B8">
        <w:rPr>
          <w:rFonts w:cs="Times New Roman"/>
        </w:rPr>
        <w:t xml:space="preserve">that </w:t>
      </w:r>
      <w:r>
        <w:rPr>
          <w:rFonts w:cs="Times New Roman"/>
        </w:rPr>
        <w:t>fundamental rights or freedoms</w:t>
      </w:r>
      <w:r w:rsidR="007304B8">
        <w:rPr>
          <w:rFonts w:cs="Times New Roman"/>
        </w:rPr>
        <w:t xml:space="preserve"> are not imperilled</w:t>
      </w:r>
      <w:r w:rsidR="00626FC7">
        <w:rPr>
          <w:rFonts w:cs="Times New Roman"/>
        </w:rPr>
        <w:t xml:space="preserve">, </w:t>
      </w:r>
      <w:r w:rsidR="007A51B9">
        <w:rPr>
          <w:rFonts w:cs="Times New Roman"/>
        </w:rPr>
        <w:t>nor legitimate</w:t>
      </w:r>
      <w:r>
        <w:rPr>
          <w:rFonts w:cs="Times New Roman"/>
        </w:rPr>
        <w:t xml:space="preserve"> socio-economic benefits </w:t>
      </w:r>
      <w:r w:rsidR="00924D89">
        <w:rPr>
          <w:rFonts w:cs="Times New Roman"/>
        </w:rPr>
        <w:t>from</w:t>
      </w:r>
      <w:r w:rsidR="007304B8">
        <w:rPr>
          <w:rFonts w:cs="Times New Roman"/>
        </w:rPr>
        <w:t xml:space="preserve"> </w:t>
      </w:r>
      <w:r w:rsidR="007A51B9">
        <w:rPr>
          <w:rFonts w:cs="Times New Roman"/>
        </w:rPr>
        <w:t>the use of personal data deni</w:t>
      </w:r>
      <w:r w:rsidR="007304B8">
        <w:rPr>
          <w:rFonts w:cs="Times New Roman"/>
        </w:rPr>
        <w:t>ed</w:t>
      </w:r>
      <w:r>
        <w:rPr>
          <w:rFonts w:cs="Times New Roman"/>
        </w:rPr>
        <w:t xml:space="preserve">. </w:t>
      </w:r>
    </w:p>
    <w:p w14:paraId="10CFE743" w14:textId="77777777" w:rsidR="00C84F9C" w:rsidRDefault="00C84F9C" w:rsidP="00C84F9C">
      <w:pPr>
        <w:spacing w:line="360" w:lineRule="auto"/>
        <w:jc w:val="both"/>
        <w:rPr>
          <w:rFonts w:cs="Times New Roman"/>
        </w:rPr>
      </w:pPr>
    </w:p>
    <w:p w14:paraId="12E7C0B9" w14:textId="5D7DA798" w:rsidR="00C84F9C" w:rsidRDefault="00C84F9C" w:rsidP="00C84F9C">
      <w:pPr>
        <w:spacing w:line="360" w:lineRule="auto"/>
        <w:jc w:val="both"/>
        <w:rPr>
          <w:rFonts w:cs="Times New Roman"/>
        </w:rPr>
      </w:pPr>
      <w:r>
        <w:rPr>
          <w:rFonts w:cs="Times New Roman"/>
        </w:rPr>
        <w:t xml:space="preserve">Accordingly, for the purposes of the various reforms proposed in Chapter 1 of the Consultation Document, the Faculty of Advocates would advise against the implementation of rigid, </w:t>
      </w:r>
      <w:r>
        <w:rPr>
          <w:rFonts w:cs="Times New Roman"/>
        </w:rPr>
        <w:lastRenderedPageBreak/>
        <w:t>technologically specific, and exhaustive provisions, instead retaining the emphasis</w:t>
      </w:r>
      <w:r w:rsidR="0048320E">
        <w:rPr>
          <w:rFonts w:cs="Times New Roman"/>
        </w:rPr>
        <w:t>,</w:t>
      </w:r>
      <w:r>
        <w:rPr>
          <w:rFonts w:cs="Times New Roman"/>
        </w:rPr>
        <w:t xml:space="preserve"> </w:t>
      </w:r>
      <w:r w:rsidR="0048320E">
        <w:rPr>
          <w:rFonts w:cs="Times New Roman"/>
        </w:rPr>
        <w:t xml:space="preserve">in </w:t>
      </w:r>
      <w:r>
        <w:rPr>
          <w:rFonts w:cs="Times New Roman"/>
        </w:rPr>
        <w:t>the GDPR and Data Protection Act 2018</w:t>
      </w:r>
      <w:r w:rsidR="0048320E">
        <w:rPr>
          <w:rFonts w:cs="Times New Roman"/>
        </w:rPr>
        <w:t>,</w:t>
      </w:r>
      <w:r>
        <w:rPr>
          <w:rFonts w:cs="Times New Roman"/>
        </w:rPr>
        <w:t xml:space="preserve"> on adherence to a principle-based approach to data use.  </w:t>
      </w:r>
    </w:p>
    <w:p w14:paraId="5FD92257" w14:textId="77777777" w:rsidR="00C84F9C" w:rsidRDefault="00C84F9C" w:rsidP="00C84F9C">
      <w:pPr>
        <w:spacing w:line="360" w:lineRule="auto"/>
        <w:jc w:val="both"/>
        <w:rPr>
          <w:rFonts w:cs="Times New Roman"/>
        </w:rPr>
      </w:pPr>
    </w:p>
    <w:p w14:paraId="28075918" w14:textId="186BB849" w:rsidR="00C84F9C" w:rsidRDefault="00DC66E9" w:rsidP="00C84F9C">
      <w:pPr>
        <w:spacing w:line="360" w:lineRule="auto"/>
        <w:jc w:val="both"/>
        <w:rPr>
          <w:rFonts w:cs="Times New Roman"/>
        </w:rPr>
      </w:pPr>
      <w:r>
        <w:rPr>
          <w:rFonts w:cs="Times New Roman"/>
        </w:rPr>
        <w:t>However, t</w:t>
      </w:r>
      <w:r w:rsidR="00C84F9C">
        <w:rPr>
          <w:rFonts w:cs="Times New Roman"/>
        </w:rPr>
        <w:t>he Faculty of Advocates is of the view that there is merit in a nuanced and incremental reform of the legislation</w:t>
      </w:r>
      <w:r w:rsidR="004451B5">
        <w:rPr>
          <w:rFonts w:cs="Times New Roman"/>
        </w:rPr>
        <w:t>.  Such might include</w:t>
      </w:r>
      <w:r w:rsidR="007A51B9">
        <w:rPr>
          <w:rFonts w:cs="Times New Roman"/>
        </w:rPr>
        <w:t xml:space="preserve">, </w:t>
      </w:r>
      <w:r w:rsidR="007A51B9" w:rsidRPr="007A51B9">
        <w:rPr>
          <w:rFonts w:cs="Times New Roman"/>
          <w:i/>
        </w:rPr>
        <w:t>inter</w:t>
      </w:r>
      <w:r w:rsidR="00C84F9C">
        <w:rPr>
          <w:rFonts w:cs="Times New Roman"/>
          <w:i/>
          <w:iCs/>
        </w:rPr>
        <w:t xml:space="preserve"> alia</w:t>
      </w:r>
      <w:r w:rsidR="004451B5">
        <w:rPr>
          <w:rFonts w:cs="Times New Roman"/>
        </w:rPr>
        <w:t>,</w:t>
      </w:r>
      <w:r w:rsidR="00C84F9C">
        <w:rPr>
          <w:rFonts w:cs="Times New Roman"/>
        </w:rPr>
        <w:t xml:space="preserve"> </w:t>
      </w:r>
      <w:r w:rsidR="004451B5">
        <w:rPr>
          <w:rFonts w:cs="Times New Roman"/>
        </w:rPr>
        <w:t xml:space="preserve">the </w:t>
      </w:r>
      <w:r w:rsidR="00C84F9C">
        <w:rPr>
          <w:rFonts w:cs="Times New Roman"/>
        </w:rPr>
        <w:t>incorporation of the recitals to the GDPR into substantive legislation</w:t>
      </w:r>
      <w:r w:rsidR="004451B5">
        <w:rPr>
          <w:rFonts w:cs="Times New Roman"/>
        </w:rPr>
        <w:t xml:space="preserve">: thus better serving as </w:t>
      </w:r>
      <w:r w:rsidR="00C84F9C">
        <w:rPr>
          <w:rFonts w:cs="Times New Roman"/>
        </w:rPr>
        <w:t>an interpretative guide to data controllers and processors</w:t>
      </w:r>
      <w:r w:rsidR="004451B5">
        <w:rPr>
          <w:rFonts w:cs="Times New Roman"/>
        </w:rPr>
        <w:t xml:space="preserve"> as they seek to undertake </w:t>
      </w:r>
      <w:r w:rsidR="00C84F9C">
        <w:rPr>
          <w:rFonts w:cs="Times New Roman"/>
        </w:rPr>
        <w:t xml:space="preserve">their </w:t>
      </w:r>
      <w:r w:rsidR="004451B5">
        <w:rPr>
          <w:rFonts w:cs="Times New Roman"/>
        </w:rPr>
        <w:t xml:space="preserve">legal </w:t>
      </w:r>
      <w:r w:rsidR="00C84F9C">
        <w:rPr>
          <w:rFonts w:cs="Times New Roman"/>
        </w:rPr>
        <w:t xml:space="preserve">responsibilities </w:t>
      </w:r>
      <w:r w:rsidR="004451B5">
        <w:rPr>
          <w:rFonts w:cs="Times New Roman"/>
        </w:rPr>
        <w:t>and discharge their legal duties.</w:t>
      </w:r>
    </w:p>
    <w:p w14:paraId="3CF1C05D" w14:textId="77777777" w:rsidR="00C84F9C" w:rsidRDefault="00C84F9C" w:rsidP="00C84F9C">
      <w:pPr>
        <w:spacing w:line="360" w:lineRule="auto"/>
        <w:jc w:val="both"/>
        <w:rPr>
          <w:rFonts w:cs="Times New Roman"/>
        </w:rPr>
      </w:pPr>
    </w:p>
    <w:p w14:paraId="216D970A" w14:textId="6E042798" w:rsidR="00C84F9C" w:rsidRDefault="00C84F9C" w:rsidP="00C84F9C">
      <w:pPr>
        <w:spacing w:line="360" w:lineRule="auto"/>
        <w:jc w:val="both"/>
        <w:rPr>
          <w:rFonts w:cs="Times New Roman"/>
        </w:rPr>
      </w:pPr>
      <w:r>
        <w:rPr>
          <w:rFonts w:cs="Times New Roman"/>
        </w:rPr>
        <w:t>In terms of specific emerging technologies</w:t>
      </w:r>
      <w:r w:rsidR="004451B5">
        <w:rPr>
          <w:rFonts w:cs="Times New Roman"/>
        </w:rPr>
        <w:t>,</w:t>
      </w:r>
      <w:r>
        <w:rPr>
          <w:rFonts w:cs="Times New Roman"/>
        </w:rPr>
        <w:t xml:space="preserve"> such </w:t>
      </w:r>
      <w:r w:rsidR="004451B5">
        <w:rPr>
          <w:rFonts w:cs="Times New Roman"/>
        </w:rPr>
        <w:t xml:space="preserve">as </w:t>
      </w:r>
      <w:r>
        <w:rPr>
          <w:rFonts w:cs="Times New Roman"/>
        </w:rPr>
        <w:t xml:space="preserve">artificial intelligence, and the use of innovative data sharing solutions (including intermediaries), it is the position of the Faculty of Advocates that public confidence in the use of personal data in such contexts is the key to unlocking the socio-economic benefits thereof. </w:t>
      </w:r>
      <w:r w:rsidR="004451B5">
        <w:rPr>
          <w:rFonts w:cs="Times New Roman"/>
        </w:rPr>
        <w:t xml:space="preserve">  </w:t>
      </w:r>
      <w:r w:rsidR="00924D89">
        <w:rPr>
          <w:rFonts w:cs="Times New Roman"/>
        </w:rPr>
        <w:t>We submit</w:t>
      </w:r>
      <w:r w:rsidR="004451B5">
        <w:rPr>
          <w:rFonts w:cs="Times New Roman"/>
        </w:rPr>
        <w:t xml:space="preserve"> that t</w:t>
      </w:r>
      <w:r>
        <w:rPr>
          <w:rFonts w:cs="Times New Roman"/>
        </w:rPr>
        <w:t>he regulatory functions of the ICO paired with the heightened vigilance of the principle-based approach inherent in the GDPR and Data Protection Act 2018 are</w:t>
      </w:r>
      <w:r w:rsidR="004451B5">
        <w:rPr>
          <w:rFonts w:cs="Times New Roman"/>
        </w:rPr>
        <w:t>, in the long-term,</w:t>
      </w:r>
      <w:r>
        <w:rPr>
          <w:rFonts w:cs="Times New Roman"/>
        </w:rPr>
        <w:t xml:space="preserve"> conducive to ensuring </w:t>
      </w:r>
      <w:r w:rsidR="004451B5">
        <w:rPr>
          <w:rFonts w:cs="Times New Roman"/>
        </w:rPr>
        <w:t xml:space="preserve">the </w:t>
      </w:r>
      <w:r>
        <w:rPr>
          <w:rFonts w:cs="Times New Roman"/>
        </w:rPr>
        <w:t xml:space="preserve">responsible </w:t>
      </w:r>
      <w:r w:rsidR="004451B5">
        <w:rPr>
          <w:rFonts w:cs="Times New Roman"/>
        </w:rPr>
        <w:t>use of dat</w:t>
      </w:r>
      <w:r w:rsidR="00DC5A9B">
        <w:rPr>
          <w:rFonts w:cs="Times New Roman"/>
        </w:rPr>
        <w:t>a</w:t>
      </w:r>
      <w:r w:rsidR="004451B5">
        <w:rPr>
          <w:rFonts w:cs="Times New Roman"/>
        </w:rPr>
        <w:t xml:space="preserve"> </w:t>
      </w:r>
      <w:r w:rsidR="00DC5A9B">
        <w:rPr>
          <w:rFonts w:cs="Times New Roman"/>
        </w:rPr>
        <w:t xml:space="preserve">in </w:t>
      </w:r>
      <w:r>
        <w:rPr>
          <w:rFonts w:cs="Times New Roman"/>
        </w:rPr>
        <w:t>such contexts</w:t>
      </w:r>
      <w:r w:rsidR="00924D89">
        <w:rPr>
          <w:rFonts w:cs="Times New Roman"/>
        </w:rPr>
        <w:t xml:space="preserve">, </w:t>
      </w:r>
      <w:r w:rsidR="007A51B9">
        <w:rPr>
          <w:rFonts w:cs="Times New Roman"/>
        </w:rPr>
        <w:t>whilst striking</w:t>
      </w:r>
      <w:r w:rsidR="00DC5A9B">
        <w:rPr>
          <w:rFonts w:cs="Times New Roman"/>
        </w:rPr>
        <w:t xml:space="preserve"> a fair balance </w:t>
      </w:r>
      <w:r>
        <w:rPr>
          <w:rFonts w:cs="Times New Roman"/>
        </w:rPr>
        <w:t xml:space="preserve">between data protection and realising socio-economic benefits </w:t>
      </w:r>
      <w:r w:rsidR="00DC5A9B">
        <w:rPr>
          <w:rFonts w:cs="Times New Roman"/>
        </w:rPr>
        <w:t>from the use of data.</w:t>
      </w:r>
      <w:r>
        <w:rPr>
          <w:rFonts w:cs="Times New Roman"/>
        </w:rPr>
        <w:t xml:space="preserve"> </w:t>
      </w:r>
      <w:r w:rsidR="00DC5A9B">
        <w:rPr>
          <w:rFonts w:cs="Times New Roman"/>
        </w:rPr>
        <w:t xml:space="preserve">  </w:t>
      </w:r>
      <w:r w:rsidRPr="00322846">
        <w:rPr>
          <w:rFonts w:cs="Times New Roman"/>
        </w:rPr>
        <w:t xml:space="preserve">Upsetting this balance through reforms which encourage maximisation of the ease of data processing and potentially erode the heightened vigilance of data controllers and processors inherent in the current principle-based system </w:t>
      </w:r>
      <w:r w:rsidR="00924D89" w:rsidRPr="00B6074F">
        <w:rPr>
          <w:rFonts w:cs="Times New Roman"/>
        </w:rPr>
        <w:t xml:space="preserve">may </w:t>
      </w:r>
      <w:r w:rsidRPr="00322846">
        <w:rPr>
          <w:rFonts w:cs="Times New Roman"/>
        </w:rPr>
        <w:t xml:space="preserve">risk compromising fundamental rights in the interests of the </w:t>
      </w:r>
      <w:r w:rsidR="00924D89" w:rsidRPr="00B6074F">
        <w:rPr>
          <w:rFonts w:cs="Times New Roman"/>
        </w:rPr>
        <w:t>objectives</w:t>
      </w:r>
      <w:r w:rsidRPr="00322846">
        <w:rPr>
          <w:rFonts w:cs="Times New Roman"/>
        </w:rPr>
        <w:t xml:space="preserve"> expressed in the Consultation Document.</w:t>
      </w:r>
      <w:r>
        <w:rPr>
          <w:rFonts w:cs="Times New Roman"/>
        </w:rPr>
        <w:t xml:space="preserve"> </w:t>
      </w:r>
    </w:p>
    <w:p w14:paraId="044819A7" w14:textId="77777777" w:rsidR="00C84F9C" w:rsidRDefault="00C84F9C" w:rsidP="00C84F9C">
      <w:pPr>
        <w:spacing w:line="360" w:lineRule="auto"/>
        <w:jc w:val="both"/>
        <w:rPr>
          <w:rFonts w:cs="Times New Roman"/>
        </w:rPr>
      </w:pPr>
    </w:p>
    <w:p w14:paraId="62877258" w14:textId="1A4B5629" w:rsidR="00165C74" w:rsidRDefault="00C84F9C" w:rsidP="00C84F9C">
      <w:pPr>
        <w:spacing w:line="360" w:lineRule="auto"/>
        <w:jc w:val="both"/>
        <w:rPr>
          <w:rFonts w:cs="Times New Roman"/>
        </w:rPr>
      </w:pPr>
      <w:r w:rsidRPr="00165C74">
        <w:rPr>
          <w:rFonts w:cs="Times New Roman"/>
        </w:rPr>
        <w:t>The Faculty of Advocates would at this stage re-emphasise the</w:t>
      </w:r>
      <w:r w:rsidR="00165C74">
        <w:rPr>
          <w:rFonts w:cs="Times New Roman"/>
        </w:rPr>
        <w:t xml:space="preserve"> </w:t>
      </w:r>
      <w:r w:rsidR="007A51B9">
        <w:rPr>
          <w:rFonts w:cs="Times New Roman"/>
        </w:rPr>
        <w:t xml:space="preserve">philosophy </w:t>
      </w:r>
      <w:r w:rsidR="007A51B9" w:rsidRPr="00165C74">
        <w:rPr>
          <w:rFonts w:cs="Times New Roman"/>
        </w:rPr>
        <w:t>behind</w:t>
      </w:r>
      <w:r w:rsidRPr="00165C74">
        <w:rPr>
          <w:rFonts w:cs="Times New Roman"/>
        </w:rPr>
        <w:t xml:space="preserve"> the GDPR</w:t>
      </w:r>
      <w:r w:rsidR="00165C74">
        <w:rPr>
          <w:rFonts w:cs="Times New Roman"/>
        </w:rPr>
        <w:t xml:space="preserve">, of principle underlining practice, practice creating predictability and, thereby, public confidence and the realisation </w:t>
      </w:r>
      <w:r w:rsidR="007A51B9">
        <w:rPr>
          <w:rFonts w:cs="Times New Roman"/>
        </w:rPr>
        <w:t xml:space="preserve">of </w:t>
      </w:r>
      <w:r w:rsidR="007A51B9" w:rsidRPr="00165C74">
        <w:rPr>
          <w:rFonts w:cs="Times New Roman"/>
        </w:rPr>
        <w:t>socio</w:t>
      </w:r>
      <w:r w:rsidRPr="00165C74">
        <w:rPr>
          <w:rFonts w:cs="Times New Roman"/>
        </w:rPr>
        <w:t>-economic benefits of data use.</w:t>
      </w:r>
      <w:r>
        <w:rPr>
          <w:rFonts w:cs="Times New Roman"/>
        </w:rPr>
        <w:t xml:space="preserve"> </w:t>
      </w:r>
    </w:p>
    <w:p w14:paraId="4E120005" w14:textId="50494684" w:rsidR="00C84F9C" w:rsidRDefault="00C84F9C" w:rsidP="00C84F9C">
      <w:pPr>
        <w:spacing w:line="360" w:lineRule="auto"/>
        <w:jc w:val="both"/>
        <w:rPr>
          <w:rFonts w:cs="Times New Roman"/>
        </w:rPr>
      </w:pPr>
    </w:p>
    <w:p w14:paraId="2397A160" w14:textId="77777777" w:rsidR="00C84F9C" w:rsidRDefault="00C84F9C" w:rsidP="00C84F9C">
      <w:pPr>
        <w:spacing w:line="360" w:lineRule="auto"/>
        <w:jc w:val="both"/>
        <w:rPr>
          <w:rFonts w:cs="Times New Roman"/>
          <w:b/>
          <w:bCs/>
        </w:rPr>
      </w:pPr>
      <w:r>
        <w:rPr>
          <w:rFonts w:cs="Times New Roman"/>
          <w:b/>
          <w:bCs/>
        </w:rPr>
        <w:t>Reducing Burdens on Businesses and Delivering Better Outcomes for People</w:t>
      </w:r>
    </w:p>
    <w:p w14:paraId="0B16A663" w14:textId="77777777" w:rsidR="00C84F9C" w:rsidRDefault="00C84F9C" w:rsidP="00C84F9C">
      <w:pPr>
        <w:spacing w:line="360" w:lineRule="auto"/>
        <w:jc w:val="both"/>
        <w:rPr>
          <w:rFonts w:cs="Times New Roman"/>
          <w:b/>
          <w:bCs/>
        </w:rPr>
      </w:pPr>
    </w:p>
    <w:p w14:paraId="7EF9D484" w14:textId="2EBE3859" w:rsidR="00C84F9C" w:rsidRDefault="00C84F9C" w:rsidP="00C84F9C">
      <w:pPr>
        <w:spacing w:line="360" w:lineRule="auto"/>
        <w:jc w:val="both"/>
        <w:rPr>
          <w:rFonts w:cs="Times New Roman"/>
        </w:rPr>
      </w:pPr>
      <w:r>
        <w:rPr>
          <w:rFonts w:cs="Times New Roman"/>
        </w:rPr>
        <w:t xml:space="preserve">The Faculty of Advocates questions the rationale behind the application of the phrase “build back better” to a series of compliance protocols and practices which are in their adolescence following the recent enactment of the GDPR and Data Protection Act 2018. </w:t>
      </w:r>
    </w:p>
    <w:p w14:paraId="515AC0C4" w14:textId="77777777" w:rsidR="00C84F9C" w:rsidRDefault="00C84F9C" w:rsidP="00C84F9C">
      <w:pPr>
        <w:spacing w:line="360" w:lineRule="auto"/>
        <w:jc w:val="both"/>
        <w:rPr>
          <w:rFonts w:cs="Times New Roman"/>
        </w:rPr>
      </w:pPr>
    </w:p>
    <w:p w14:paraId="21A1FFF0" w14:textId="7A6DF841" w:rsidR="00C84F9C" w:rsidRDefault="00C84F9C" w:rsidP="00C84F9C">
      <w:pPr>
        <w:spacing w:line="360" w:lineRule="auto"/>
        <w:jc w:val="both"/>
        <w:rPr>
          <w:rFonts w:cs="Times New Roman"/>
        </w:rPr>
      </w:pPr>
      <w:r>
        <w:rPr>
          <w:rFonts w:cs="Times New Roman"/>
        </w:rPr>
        <w:t xml:space="preserve">The principles which drive the GDPR, and Data Protection Act 2018 exist for the purpose of promoting best practice insofar as the use of personal data is concerned. It is the broad </w:t>
      </w:r>
      <w:r>
        <w:rPr>
          <w:rFonts w:cs="Times New Roman"/>
        </w:rPr>
        <w:lastRenderedPageBreak/>
        <w:t xml:space="preserve">principle-based nature thereof paired with the sanctions in the event of non-compliance which </w:t>
      </w:r>
      <w:r w:rsidR="00EA5C76">
        <w:rPr>
          <w:rFonts w:cs="Times New Roman"/>
        </w:rPr>
        <w:t>provide</w:t>
      </w:r>
      <w:r w:rsidR="00165C74">
        <w:rPr>
          <w:rFonts w:cs="Times New Roman"/>
        </w:rPr>
        <w:t>s</w:t>
      </w:r>
      <w:r w:rsidR="00EA5C76">
        <w:rPr>
          <w:rFonts w:cs="Times New Roman"/>
        </w:rPr>
        <w:t xml:space="preserve"> an incentive to establish</w:t>
      </w:r>
      <w:r>
        <w:rPr>
          <w:rFonts w:cs="Times New Roman"/>
        </w:rPr>
        <w:t xml:space="preserve"> robust</w:t>
      </w:r>
      <w:r w:rsidR="00EA5C76">
        <w:rPr>
          <w:rFonts w:cs="Times New Roman"/>
        </w:rPr>
        <w:t>,</w:t>
      </w:r>
      <w:r>
        <w:rPr>
          <w:rFonts w:cs="Times New Roman"/>
        </w:rPr>
        <w:t xml:space="preserve"> and considered</w:t>
      </w:r>
      <w:r w:rsidR="00EA5C76">
        <w:rPr>
          <w:rFonts w:cs="Times New Roman"/>
        </w:rPr>
        <w:t>,</w:t>
      </w:r>
      <w:r>
        <w:rPr>
          <w:rFonts w:cs="Times New Roman"/>
        </w:rPr>
        <w:t xml:space="preserve"> approaches </w:t>
      </w:r>
      <w:r w:rsidR="00EA5C76">
        <w:rPr>
          <w:rFonts w:cs="Times New Roman"/>
        </w:rPr>
        <w:t xml:space="preserve">that ensure </w:t>
      </w:r>
      <w:r>
        <w:rPr>
          <w:rFonts w:cs="Times New Roman"/>
        </w:rPr>
        <w:t xml:space="preserve">the responsible use of data. </w:t>
      </w:r>
    </w:p>
    <w:p w14:paraId="5EE460C5" w14:textId="77777777" w:rsidR="00C84F9C" w:rsidRDefault="00C84F9C" w:rsidP="00C84F9C">
      <w:pPr>
        <w:spacing w:line="360" w:lineRule="auto"/>
        <w:jc w:val="both"/>
        <w:rPr>
          <w:rFonts w:cs="Times New Roman"/>
        </w:rPr>
      </w:pPr>
    </w:p>
    <w:p w14:paraId="7A614373" w14:textId="77777777" w:rsidR="00C84F9C" w:rsidRDefault="00C84F9C" w:rsidP="00C84F9C">
      <w:pPr>
        <w:spacing w:line="360" w:lineRule="auto"/>
        <w:jc w:val="both"/>
        <w:rPr>
          <w:rFonts w:cs="Times New Roman"/>
        </w:rPr>
      </w:pPr>
      <w:r>
        <w:rPr>
          <w:rFonts w:cs="Times New Roman"/>
        </w:rPr>
        <w:t xml:space="preserve">The Faculty of Advocates has concerns that a shift in focus towards privacy management programmes tailored to specific businesses will result in a </w:t>
      </w:r>
      <w:r>
        <w:rPr>
          <w:rFonts w:cs="Times New Roman"/>
          <w:i/>
          <w:iCs/>
        </w:rPr>
        <w:t>laissez-faire</w:t>
      </w:r>
      <w:r>
        <w:rPr>
          <w:rFonts w:cs="Times New Roman"/>
        </w:rPr>
        <w:t xml:space="preserve"> attitude towards compliance, and potentially undermine the principle-based nature of the GDPR and Data Protection Act 2018. </w:t>
      </w:r>
    </w:p>
    <w:p w14:paraId="00658379" w14:textId="77777777" w:rsidR="00C84F9C" w:rsidRDefault="00C84F9C" w:rsidP="00C84F9C">
      <w:pPr>
        <w:spacing w:line="360" w:lineRule="auto"/>
        <w:jc w:val="both"/>
        <w:rPr>
          <w:rFonts w:cs="Times New Roman"/>
        </w:rPr>
      </w:pPr>
    </w:p>
    <w:p w14:paraId="517173A0" w14:textId="67D9C82D" w:rsidR="00C84F9C" w:rsidRDefault="00C84F9C" w:rsidP="00C84F9C">
      <w:pPr>
        <w:spacing w:line="360" w:lineRule="auto"/>
        <w:jc w:val="both"/>
        <w:rPr>
          <w:rFonts w:cs="Times New Roman"/>
        </w:rPr>
      </w:pPr>
      <w:r>
        <w:rPr>
          <w:rFonts w:cs="Times New Roman"/>
        </w:rPr>
        <w:t>The Faculty of Advocates accepts that there is no “one size fits all” approach to how businesses plan, implement, and enforce compliance regimes. Consideration will always require to be given by specific businesses to how such regimes should be implemented</w:t>
      </w:r>
      <w:r w:rsidR="00EA5C76">
        <w:rPr>
          <w:rFonts w:cs="Times New Roman"/>
        </w:rPr>
        <w:t>,</w:t>
      </w:r>
      <w:r>
        <w:rPr>
          <w:rFonts w:cs="Times New Roman"/>
        </w:rPr>
        <w:t xml:space="preserve"> given their own unique circumstances, business-models, and </w:t>
      </w:r>
      <w:r w:rsidR="00EA5C76">
        <w:rPr>
          <w:rFonts w:cs="Times New Roman"/>
        </w:rPr>
        <w:t xml:space="preserve">the </w:t>
      </w:r>
      <w:r>
        <w:rPr>
          <w:rFonts w:cs="Times New Roman"/>
        </w:rPr>
        <w:t xml:space="preserve">socio-economic landscapes within which they operate. However, with </w:t>
      </w:r>
      <w:r w:rsidR="00165C74">
        <w:rPr>
          <w:rFonts w:cs="Times New Roman"/>
        </w:rPr>
        <w:t>under</w:t>
      </w:r>
      <w:r>
        <w:rPr>
          <w:rFonts w:cs="Times New Roman"/>
        </w:rPr>
        <w:t xml:space="preserve"> four years having passed since the enactment of the GDPR and Data Protection Act 2018, it is the position of the Faculty of Advocates that it is premature to cast doubt on the </w:t>
      </w:r>
      <w:r w:rsidR="00EA5C76">
        <w:rPr>
          <w:rFonts w:cs="Times New Roman"/>
        </w:rPr>
        <w:t xml:space="preserve">proposition </w:t>
      </w:r>
      <w:r>
        <w:rPr>
          <w:rFonts w:cs="Times New Roman"/>
        </w:rPr>
        <w:t xml:space="preserve">that the current </w:t>
      </w:r>
      <w:r w:rsidR="00BB1EEE">
        <w:rPr>
          <w:rFonts w:cs="Times New Roman"/>
        </w:rPr>
        <w:t>approach (</w:t>
      </w:r>
      <w:r w:rsidR="00BB1EEE">
        <w:rPr>
          <w:rFonts w:cs="Times New Roman"/>
          <w:i/>
          <w:iCs/>
        </w:rPr>
        <w:t xml:space="preserve">i.e. </w:t>
      </w:r>
      <w:r w:rsidR="00BB1EEE" w:rsidRPr="00165C74">
        <w:rPr>
          <w:rFonts w:cs="Times New Roman"/>
        </w:rPr>
        <w:t>the</w:t>
      </w:r>
      <w:r w:rsidR="00BB1EEE">
        <w:rPr>
          <w:rFonts w:cs="Times New Roman"/>
          <w:i/>
          <w:iCs/>
        </w:rPr>
        <w:t xml:space="preserve"> </w:t>
      </w:r>
      <w:r>
        <w:rPr>
          <w:rFonts w:cs="Times New Roman"/>
        </w:rPr>
        <w:t xml:space="preserve">principle-based approach </w:t>
      </w:r>
      <w:r w:rsidR="00BB1EEE">
        <w:rPr>
          <w:rFonts w:cs="Times New Roman"/>
        </w:rPr>
        <w:t>found in the current</w:t>
      </w:r>
      <w:r>
        <w:rPr>
          <w:rFonts w:cs="Times New Roman"/>
        </w:rPr>
        <w:t xml:space="preserve"> Data Protection Legislation, with specific reference to Article 24 of the UK GDPR</w:t>
      </w:r>
      <w:r w:rsidR="00BB1EEE">
        <w:rPr>
          <w:rFonts w:cs="Times New Roman"/>
        </w:rPr>
        <w:t>)</w:t>
      </w:r>
      <w:r>
        <w:rPr>
          <w:rFonts w:cs="Times New Roman"/>
        </w:rPr>
        <w:t xml:space="preserve"> contains the flexibility needed to allow businesses to make responsible, proportionate, and balanced decisions in this regard. </w:t>
      </w:r>
    </w:p>
    <w:p w14:paraId="086DA396" w14:textId="77777777" w:rsidR="00C84F9C" w:rsidRDefault="00C84F9C" w:rsidP="00C84F9C">
      <w:pPr>
        <w:spacing w:line="360" w:lineRule="auto"/>
        <w:jc w:val="both"/>
        <w:rPr>
          <w:rFonts w:cs="Times New Roman"/>
        </w:rPr>
      </w:pPr>
    </w:p>
    <w:p w14:paraId="712966EA" w14:textId="19195FCE" w:rsidR="00C84F9C" w:rsidRDefault="00DC66E9" w:rsidP="00C84F9C">
      <w:pPr>
        <w:spacing w:line="360" w:lineRule="auto"/>
        <w:jc w:val="both"/>
        <w:rPr>
          <w:rFonts w:cs="Times New Roman"/>
        </w:rPr>
      </w:pPr>
      <w:r>
        <w:rPr>
          <w:rFonts w:cs="Times New Roman"/>
        </w:rPr>
        <w:t>While t</w:t>
      </w:r>
      <w:r w:rsidR="00C84F9C">
        <w:rPr>
          <w:rFonts w:cs="Times New Roman"/>
        </w:rPr>
        <w:t xml:space="preserve">he Faculty of Advocates accepts that there </w:t>
      </w:r>
      <w:r w:rsidR="00AE0A2E">
        <w:rPr>
          <w:rFonts w:cs="Times New Roman"/>
        </w:rPr>
        <w:t xml:space="preserve">may be </w:t>
      </w:r>
      <w:r w:rsidR="00C84F9C">
        <w:rPr>
          <w:rFonts w:cs="Times New Roman"/>
        </w:rPr>
        <w:t xml:space="preserve">a lack of certainty for specific business-models </w:t>
      </w:r>
      <w:r w:rsidR="00BB1EEE">
        <w:rPr>
          <w:rFonts w:cs="Times New Roman"/>
        </w:rPr>
        <w:t xml:space="preserve">where </w:t>
      </w:r>
      <w:r w:rsidR="00C84F9C">
        <w:rPr>
          <w:rFonts w:cs="Times New Roman"/>
        </w:rPr>
        <w:t xml:space="preserve">data processing is either </w:t>
      </w:r>
      <w:r w:rsidR="00C84F9C">
        <w:rPr>
          <w:rFonts w:cs="Times New Roman"/>
          <w:i/>
          <w:iCs/>
        </w:rPr>
        <w:t>de minimis</w:t>
      </w:r>
      <w:r w:rsidR="00C84F9C">
        <w:rPr>
          <w:rFonts w:cs="Times New Roman"/>
        </w:rPr>
        <w:t xml:space="preserve"> or unconventional in nature, specifically with reference to Article 24 of the UK GDPR, any such </w:t>
      </w:r>
      <w:r w:rsidR="00AE0A2E">
        <w:rPr>
          <w:rFonts w:cs="Times New Roman"/>
        </w:rPr>
        <w:t>gap</w:t>
      </w:r>
      <w:r w:rsidR="00C84F9C">
        <w:rPr>
          <w:rFonts w:cs="Times New Roman"/>
        </w:rPr>
        <w:t xml:space="preserve">s should be addressed through nuanced and incremental legislative reform or sector-specific guidance as opposed to wholesale legislative changes. Although such changes may </w:t>
      </w:r>
      <w:r w:rsidR="00AE0A2E">
        <w:rPr>
          <w:rFonts w:cs="Times New Roman"/>
        </w:rPr>
        <w:t>seek</w:t>
      </w:r>
      <w:r w:rsidR="00C84F9C">
        <w:rPr>
          <w:rFonts w:cs="Times New Roman"/>
        </w:rPr>
        <w:t xml:space="preserve"> to promote or mandate the use of privacy management programmes to some degree, or indeed proportionately vary the specific compliance protocols mandated by law for certain categories of business enterprise, care should be taken not to erode the principle-based approach </w:t>
      </w:r>
      <w:r w:rsidR="007A51B9">
        <w:rPr>
          <w:rFonts w:cs="Times New Roman"/>
        </w:rPr>
        <w:t>underpinning the</w:t>
      </w:r>
      <w:r w:rsidR="000F7E53">
        <w:rPr>
          <w:rFonts w:cs="Times New Roman"/>
        </w:rPr>
        <w:t xml:space="preserve"> </w:t>
      </w:r>
      <w:r w:rsidR="00C84F9C">
        <w:rPr>
          <w:rFonts w:cs="Times New Roman"/>
        </w:rPr>
        <w:t>existing Data Protection regime</w:t>
      </w:r>
      <w:r w:rsidR="000F7E53">
        <w:rPr>
          <w:rFonts w:cs="Times New Roman"/>
        </w:rPr>
        <w:t xml:space="preserve"> (which has a </w:t>
      </w:r>
      <w:r w:rsidR="00C84F9C">
        <w:rPr>
          <w:rFonts w:cs="Times New Roman"/>
        </w:rPr>
        <w:t>particular emphasis on avoiding the unintended consequence of divergent practices emerging among similar businesses</w:t>
      </w:r>
      <w:r w:rsidR="000F7E53">
        <w:rPr>
          <w:rFonts w:cs="Times New Roman"/>
        </w:rPr>
        <w:t>)</w:t>
      </w:r>
      <w:r w:rsidR="00C84F9C">
        <w:rPr>
          <w:rFonts w:cs="Times New Roman"/>
        </w:rPr>
        <w:t xml:space="preserve">. </w:t>
      </w:r>
      <w:r w:rsidR="00B55191">
        <w:rPr>
          <w:rFonts w:cs="Times New Roman"/>
        </w:rPr>
        <w:t xml:space="preserve">  It is submitted that </w:t>
      </w:r>
      <w:r w:rsidR="00C84F9C">
        <w:rPr>
          <w:rFonts w:cs="Times New Roman"/>
        </w:rPr>
        <w:t xml:space="preserve">the </w:t>
      </w:r>
      <w:r w:rsidR="00AE0A2E">
        <w:rPr>
          <w:rFonts w:cs="Times New Roman"/>
        </w:rPr>
        <w:t>philosoph</w:t>
      </w:r>
      <w:r w:rsidR="00C84F9C">
        <w:rPr>
          <w:rFonts w:cs="Times New Roman"/>
        </w:rPr>
        <w:t xml:space="preserve">y behind the GDPR </w:t>
      </w:r>
      <w:r w:rsidR="00AE0A2E">
        <w:rPr>
          <w:rFonts w:cs="Times New Roman"/>
        </w:rPr>
        <w:t xml:space="preserve">already quoted </w:t>
      </w:r>
      <w:r w:rsidR="00B55191">
        <w:rPr>
          <w:rFonts w:cs="Times New Roman"/>
        </w:rPr>
        <w:t>is again relevant</w:t>
      </w:r>
      <w:r w:rsidR="00C84F9C">
        <w:rPr>
          <w:rFonts w:cs="Times New Roman"/>
        </w:rPr>
        <w:t xml:space="preserve">. </w:t>
      </w:r>
    </w:p>
    <w:p w14:paraId="5C5E0C67" w14:textId="77777777" w:rsidR="00C84F9C" w:rsidRDefault="00C84F9C" w:rsidP="00C84F9C">
      <w:pPr>
        <w:spacing w:line="360" w:lineRule="auto"/>
        <w:jc w:val="both"/>
        <w:rPr>
          <w:rFonts w:cs="Times New Roman"/>
        </w:rPr>
      </w:pPr>
    </w:p>
    <w:p w14:paraId="1F0EACC1" w14:textId="5408D84A" w:rsidR="00C84F9C" w:rsidRDefault="00C84F9C" w:rsidP="00C84F9C">
      <w:pPr>
        <w:spacing w:line="360" w:lineRule="auto"/>
        <w:jc w:val="both"/>
        <w:rPr>
          <w:rFonts w:cs="Times New Roman"/>
        </w:rPr>
      </w:pPr>
      <w:r>
        <w:rPr>
          <w:rFonts w:cs="Times New Roman"/>
        </w:rPr>
        <w:t>Insofar as the rights of data-subjects are concerned, specifi</w:t>
      </w:r>
      <w:r w:rsidR="00DC66E9">
        <w:rPr>
          <w:rFonts w:cs="Times New Roman"/>
        </w:rPr>
        <w:t>cally subject access requests, t</w:t>
      </w:r>
      <w:r>
        <w:rPr>
          <w:rFonts w:cs="Times New Roman"/>
        </w:rPr>
        <w:t xml:space="preserve">he Faculty of Advocates acknowledges that a balance requires to be struck between enforceability </w:t>
      </w:r>
      <w:r>
        <w:rPr>
          <w:rFonts w:cs="Times New Roman"/>
        </w:rPr>
        <w:lastRenderedPageBreak/>
        <w:t xml:space="preserve">of such rights, and the logistical considerations therein. </w:t>
      </w:r>
      <w:r w:rsidR="00B55191">
        <w:rPr>
          <w:rFonts w:cs="Times New Roman"/>
        </w:rPr>
        <w:t>N</w:t>
      </w:r>
      <w:r>
        <w:rPr>
          <w:rFonts w:cs="Times New Roman"/>
        </w:rPr>
        <w:t xml:space="preserve">o opposition is </w:t>
      </w:r>
      <w:r w:rsidR="00B55191">
        <w:rPr>
          <w:rFonts w:cs="Times New Roman"/>
        </w:rPr>
        <w:t xml:space="preserve">taken to </w:t>
      </w:r>
      <w:r>
        <w:rPr>
          <w:rFonts w:cs="Times New Roman"/>
        </w:rPr>
        <w:t>the proposition that a fee-based system could allay some of the logistical concerns</w:t>
      </w:r>
      <w:r w:rsidR="00B55191">
        <w:rPr>
          <w:rFonts w:cs="Times New Roman"/>
        </w:rPr>
        <w:t>.  I</w:t>
      </w:r>
      <w:r>
        <w:rPr>
          <w:rFonts w:cs="Times New Roman"/>
        </w:rPr>
        <w:t xml:space="preserve">t is submitted that through </w:t>
      </w:r>
      <w:r w:rsidR="00B55191">
        <w:rPr>
          <w:rFonts w:cs="Times New Roman"/>
        </w:rPr>
        <w:t xml:space="preserve">a return </w:t>
      </w:r>
      <w:r w:rsidR="00AD3631">
        <w:rPr>
          <w:rFonts w:cs="Times New Roman"/>
        </w:rPr>
        <w:t>to something akin to s</w:t>
      </w:r>
      <w:r>
        <w:rPr>
          <w:rFonts w:cs="Times New Roman"/>
        </w:rPr>
        <w:t xml:space="preserve">ection 7 (2) of the now </w:t>
      </w:r>
      <w:r w:rsidR="00AD3631">
        <w:rPr>
          <w:rFonts w:cs="Times New Roman"/>
        </w:rPr>
        <w:t xml:space="preserve">repealed </w:t>
      </w:r>
      <w:r>
        <w:rPr>
          <w:rFonts w:cs="Times New Roman"/>
        </w:rPr>
        <w:t>Data Protection Act 1998</w:t>
      </w:r>
      <w:r w:rsidR="00AD3631">
        <w:rPr>
          <w:rFonts w:cs="Times New Roman"/>
        </w:rPr>
        <w:t xml:space="preserve"> (where</w:t>
      </w:r>
      <w:r w:rsidR="00AE0A2E">
        <w:rPr>
          <w:rFonts w:cs="Times New Roman"/>
        </w:rPr>
        <w:t>by</w:t>
      </w:r>
      <w:r w:rsidR="00AD3631">
        <w:rPr>
          <w:rFonts w:cs="Times New Roman"/>
        </w:rPr>
        <w:t xml:space="preserve"> except in prescribed circumstances a fee might be charged</w:t>
      </w:r>
      <w:r w:rsidR="00AE0A2E">
        <w:rPr>
          <w:rFonts w:cs="Times New Roman"/>
        </w:rPr>
        <w:t>)</w:t>
      </w:r>
      <w:r>
        <w:rPr>
          <w:rFonts w:cs="Times New Roman"/>
        </w:rPr>
        <w:t xml:space="preserve">, </w:t>
      </w:r>
      <w:r w:rsidR="00AD3631">
        <w:rPr>
          <w:rFonts w:cs="Times New Roman"/>
        </w:rPr>
        <w:t xml:space="preserve">one might move towards </w:t>
      </w:r>
      <w:r>
        <w:rPr>
          <w:rFonts w:cs="Times New Roman"/>
        </w:rPr>
        <w:t xml:space="preserve">a system </w:t>
      </w:r>
      <w:r w:rsidR="00AD3631">
        <w:rPr>
          <w:rFonts w:cs="Times New Roman"/>
        </w:rPr>
        <w:t xml:space="preserve">that </w:t>
      </w:r>
      <w:r>
        <w:rPr>
          <w:rFonts w:cs="Times New Roman"/>
        </w:rPr>
        <w:t xml:space="preserve">allows for qualifications to be introduced into the current regime for subject access requests in limited </w:t>
      </w:r>
      <w:r w:rsidR="00AE0A2E">
        <w:rPr>
          <w:rFonts w:cs="Times New Roman"/>
        </w:rPr>
        <w:t>situations</w:t>
      </w:r>
      <w:r>
        <w:rPr>
          <w:rFonts w:cs="Times New Roman"/>
        </w:rPr>
        <w:t>. The specifics of such a qualification in terms of the extent and nature of its operation would require to be the subject of wider consultation with the public</w:t>
      </w:r>
      <w:r w:rsidR="0036645E">
        <w:rPr>
          <w:rFonts w:cs="Times New Roman"/>
        </w:rPr>
        <w:t xml:space="preserve">, </w:t>
      </w:r>
      <w:r>
        <w:rPr>
          <w:rFonts w:cs="Times New Roman"/>
        </w:rPr>
        <w:t>private</w:t>
      </w:r>
      <w:r w:rsidR="0036645E">
        <w:rPr>
          <w:rFonts w:cs="Times New Roman"/>
        </w:rPr>
        <w:t xml:space="preserve">, and third </w:t>
      </w:r>
      <w:r>
        <w:rPr>
          <w:rFonts w:cs="Times New Roman"/>
        </w:rPr>
        <w:t xml:space="preserve">sectors. </w:t>
      </w:r>
      <w:r w:rsidR="00AD3631">
        <w:rPr>
          <w:rFonts w:cs="Times New Roman"/>
        </w:rPr>
        <w:t xml:space="preserve"> </w:t>
      </w:r>
      <w:r>
        <w:rPr>
          <w:rFonts w:cs="Times New Roman"/>
        </w:rPr>
        <w:t>The Faculty of Advocates identifies no reason in principle as to why a regime similar to that of Section 7 (2) of the Data Protection Act 1998 could not be introduced in a limited category of cases, so long as it is informed by consultation, and does not fetter the operation of, or disproportionately interfere with</w:t>
      </w:r>
      <w:r w:rsidR="00AE0A2E">
        <w:rPr>
          <w:rFonts w:cs="Times New Roman"/>
        </w:rPr>
        <w:t>,</w:t>
      </w:r>
      <w:r>
        <w:rPr>
          <w:rFonts w:cs="Times New Roman"/>
        </w:rPr>
        <w:t xml:space="preserve"> the principles in the GDPR and Data Protection Act 2018. </w:t>
      </w:r>
    </w:p>
    <w:p w14:paraId="110619B8" w14:textId="77777777" w:rsidR="00C84F9C" w:rsidRDefault="00C84F9C" w:rsidP="00C84F9C">
      <w:pPr>
        <w:spacing w:line="360" w:lineRule="auto"/>
        <w:jc w:val="both"/>
        <w:rPr>
          <w:rFonts w:cs="Times New Roman"/>
        </w:rPr>
      </w:pPr>
    </w:p>
    <w:p w14:paraId="321564C3" w14:textId="725E6ABE" w:rsidR="00C84F9C" w:rsidRDefault="00C84F9C" w:rsidP="00C84F9C">
      <w:pPr>
        <w:spacing w:line="360" w:lineRule="auto"/>
        <w:jc w:val="both"/>
        <w:rPr>
          <w:rFonts w:cs="Times New Roman"/>
        </w:rPr>
      </w:pPr>
      <w:r>
        <w:rPr>
          <w:rFonts w:cs="Times New Roman"/>
        </w:rPr>
        <w:t>Overall, insofar as Chapter 2 of the Co</w:t>
      </w:r>
      <w:r w:rsidR="00DC66E9">
        <w:rPr>
          <w:rFonts w:cs="Times New Roman"/>
        </w:rPr>
        <w:t>nsultation Paper is concerned, t</w:t>
      </w:r>
      <w:r>
        <w:rPr>
          <w:rFonts w:cs="Times New Roman"/>
        </w:rPr>
        <w:t xml:space="preserve">he Faculty of Advocates maintains the view that the case for wholesale reform </w:t>
      </w:r>
      <w:r w:rsidR="00AE0A2E">
        <w:rPr>
          <w:rFonts w:cs="Times New Roman"/>
        </w:rPr>
        <w:t xml:space="preserve">at this time </w:t>
      </w:r>
      <w:r>
        <w:rPr>
          <w:rFonts w:cs="Times New Roman"/>
        </w:rPr>
        <w:t xml:space="preserve">has not been made. While the provisions of Article 24 of the UK GDPR may be expanded upon in the interests of clarity and certainty in a nuanced and incremental manner, care must be taken not to dilute the overriding nature of the data protection principles, and inadvertently establish a </w:t>
      </w:r>
      <w:r>
        <w:rPr>
          <w:rFonts w:cs="Times New Roman"/>
          <w:i/>
          <w:iCs/>
        </w:rPr>
        <w:t>laissez-faire</w:t>
      </w:r>
      <w:r>
        <w:rPr>
          <w:rFonts w:cs="Times New Roman"/>
        </w:rPr>
        <w:t xml:space="preserve"> attitude towards </w:t>
      </w:r>
      <w:r w:rsidR="00DC66E9">
        <w:rPr>
          <w:rFonts w:cs="Times New Roman"/>
        </w:rPr>
        <w:t>compliance. Furthermore, while t</w:t>
      </w:r>
      <w:r>
        <w:rPr>
          <w:rFonts w:cs="Times New Roman"/>
        </w:rPr>
        <w:t xml:space="preserve">he Faculty of Advocates does not oppose the proposals regarding qualifications to subject access requests in limited categories of case, it maintains the view that wider public consultation, impact assessments, and considerations of how such measures could be adopted in a manner compliant with and proportionate to the overriding data protection principles, ought to be exhausted prior to codification into law. </w:t>
      </w:r>
    </w:p>
    <w:p w14:paraId="79C75A2A" w14:textId="77777777" w:rsidR="00C84F9C" w:rsidRDefault="00C84F9C" w:rsidP="00C84F9C">
      <w:pPr>
        <w:spacing w:line="360" w:lineRule="auto"/>
        <w:jc w:val="both"/>
        <w:rPr>
          <w:rFonts w:cs="Times New Roman"/>
        </w:rPr>
      </w:pPr>
    </w:p>
    <w:p w14:paraId="6FDAE87A" w14:textId="77777777" w:rsidR="00C84F9C" w:rsidRDefault="00C84F9C" w:rsidP="00C84F9C">
      <w:pPr>
        <w:spacing w:line="360" w:lineRule="auto"/>
        <w:jc w:val="both"/>
        <w:rPr>
          <w:rFonts w:cs="Times New Roman"/>
          <w:b/>
          <w:bCs/>
        </w:rPr>
      </w:pPr>
      <w:r>
        <w:rPr>
          <w:rFonts w:eastAsia="Times New Roman" w:cs="Times New Roman"/>
          <w:b/>
          <w:bCs/>
          <w:color w:val="0B0C0C"/>
        </w:rPr>
        <w:t>Boosting Trade and Reducing Barriers to Data Flows</w:t>
      </w:r>
    </w:p>
    <w:p w14:paraId="3C158DD3" w14:textId="77777777" w:rsidR="00C84F9C" w:rsidRDefault="00C84F9C" w:rsidP="00C84F9C">
      <w:pPr>
        <w:spacing w:line="360" w:lineRule="auto"/>
        <w:jc w:val="both"/>
        <w:rPr>
          <w:rFonts w:cs="Times New Roman"/>
          <w:b/>
          <w:bCs/>
        </w:rPr>
      </w:pPr>
    </w:p>
    <w:p w14:paraId="21EEBB16" w14:textId="77777777" w:rsidR="00C84F9C" w:rsidRDefault="00C84F9C" w:rsidP="00C84F9C">
      <w:pPr>
        <w:spacing w:line="360" w:lineRule="auto"/>
        <w:jc w:val="both"/>
        <w:rPr>
          <w:rFonts w:cs="Times New Roman"/>
        </w:rPr>
      </w:pPr>
      <w:r>
        <w:rPr>
          <w:rFonts w:cs="Times New Roman"/>
        </w:rPr>
        <w:t xml:space="preserve">The Faculty of Advocates expresses concern at proposed reforms in Chapter 3 of the Consultation Document. </w:t>
      </w:r>
    </w:p>
    <w:p w14:paraId="5E8BEFE4" w14:textId="77777777" w:rsidR="00C84F9C" w:rsidRDefault="00C84F9C" w:rsidP="00C84F9C">
      <w:pPr>
        <w:spacing w:line="360" w:lineRule="auto"/>
        <w:jc w:val="both"/>
        <w:rPr>
          <w:rFonts w:cs="Times New Roman"/>
        </w:rPr>
      </w:pPr>
    </w:p>
    <w:p w14:paraId="397EE0CF" w14:textId="77777777" w:rsidR="00C84F9C" w:rsidRDefault="00C84F9C" w:rsidP="00C84F9C">
      <w:pPr>
        <w:spacing w:line="360" w:lineRule="auto"/>
        <w:jc w:val="both"/>
        <w:rPr>
          <w:rFonts w:eastAsia="Times New Roman" w:cs="Times New Roman"/>
          <w:color w:val="000000"/>
        </w:rPr>
      </w:pPr>
      <w:r>
        <w:rPr>
          <w:rFonts w:cs="Times New Roman"/>
          <w:color w:val="000000"/>
        </w:rPr>
        <w:t xml:space="preserve">The significance of “adequacy” in the context of cross-border dataflows, and the socio-political salience thereof is arguably at its highest following </w:t>
      </w:r>
      <w:r>
        <w:rPr>
          <w:rFonts w:eastAsia="Times New Roman" w:cs="Times New Roman"/>
          <w:color w:val="000000"/>
        </w:rPr>
        <w:t xml:space="preserve">Case C-311/18 </w:t>
      </w:r>
      <w:r>
        <w:rPr>
          <w:rFonts w:eastAsia="Times New Roman" w:cs="Times New Roman"/>
          <w:i/>
          <w:iCs/>
          <w:color w:val="000000"/>
        </w:rPr>
        <w:t xml:space="preserve">Data Protection Commissioner v Facebook Ireland and Maximillian Schrems </w:t>
      </w:r>
      <w:r>
        <w:rPr>
          <w:rFonts w:eastAsia="Times New Roman" w:cs="Times New Roman"/>
          <w:color w:val="000000"/>
        </w:rPr>
        <w:t xml:space="preserve">(Schrems II). </w:t>
      </w:r>
    </w:p>
    <w:p w14:paraId="53833D04" w14:textId="77777777" w:rsidR="00C84F9C" w:rsidRDefault="00C84F9C" w:rsidP="00C84F9C">
      <w:pPr>
        <w:spacing w:line="360" w:lineRule="auto"/>
        <w:jc w:val="both"/>
        <w:rPr>
          <w:rFonts w:eastAsia="Times New Roman" w:cs="Times New Roman"/>
          <w:color w:val="000000"/>
        </w:rPr>
      </w:pPr>
    </w:p>
    <w:p w14:paraId="6CC897CB" w14:textId="2B31EF64" w:rsidR="00C84F9C" w:rsidRDefault="00DC66E9" w:rsidP="00C84F9C">
      <w:pPr>
        <w:spacing w:line="360" w:lineRule="auto"/>
        <w:jc w:val="both"/>
        <w:rPr>
          <w:rFonts w:eastAsia="Times New Roman" w:cs="Times New Roman"/>
          <w:color w:val="000000"/>
        </w:rPr>
      </w:pPr>
      <w:r>
        <w:rPr>
          <w:rFonts w:eastAsia="Times New Roman" w:cs="Times New Roman"/>
          <w:color w:val="000000"/>
        </w:rPr>
        <w:lastRenderedPageBreak/>
        <w:t>While t</w:t>
      </w:r>
      <w:r w:rsidR="00C84F9C">
        <w:rPr>
          <w:rFonts w:eastAsia="Times New Roman" w:cs="Times New Roman"/>
          <w:color w:val="000000"/>
        </w:rPr>
        <w:t xml:space="preserve">he Faculty of Advocates accepts that a direct equivalence of laws is not necessarily required for the purposes of achieving adequacy in the terms envisioned in the GDPR, there is a concern that the risk-based approach to assessing adequacy as expressed in the proposed reforms imperils international relations, specifically the adequacy status of the United Kingdom with the European Union. </w:t>
      </w:r>
    </w:p>
    <w:p w14:paraId="667442AD" w14:textId="77777777" w:rsidR="00C84F9C" w:rsidRDefault="00C84F9C" w:rsidP="00C84F9C">
      <w:pPr>
        <w:spacing w:line="360" w:lineRule="auto"/>
        <w:jc w:val="both"/>
        <w:rPr>
          <w:rFonts w:eastAsia="Times New Roman" w:cs="Times New Roman"/>
          <w:color w:val="000000"/>
        </w:rPr>
      </w:pPr>
    </w:p>
    <w:p w14:paraId="152ED179" w14:textId="620FADD9" w:rsidR="00C84F9C" w:rsidRDefault="00C84F9C" w:rsidP="00C84F9C">
      <w:pPr>
        <w:spacing w:line="360" w:lineRule="auto"/>
        <w:jc w:val="both"/>
        <w:rPr>
          <w:rFonts w:cs="Times New Roman"/>
        </w:rPr>
      </w:pPr>
      <w:r>
        <w:rPr>
          <w:rFonts w:eastAsia="Times New Roman" w:cs="Times New Roman"/>
          <w:color w:val="000000"/>
        </w:rPr>
        <w:t>Such risk-based approaches not only involve uncertainty, unpredictability, and divergent practices but</w:t>
      </w:r>
      <w:r w:rsidR="00DB0EE7">
        <w:rPr>
          <w:rFonts w:eastAsia="Times New Roman" w:cs="Times New Roman"/>
          <w:color w:val="000000"/>
        </w:rPr>
        <w:t>,</w:t>
      </w:r>
      <w:r>
        <w:rPr>
          <w:rFonts w:eastAsia="Times New Roman" w:cs="Times New Roman"/>
          <w:color w:val="000000"/>
        </w:rPr>
        <w:t xml:space="preserve"> in the absence of a robust regulatory regime</w:t>
      </w:r>
      <w:r w:rsidR="00DB0EE7">
        <w:rPr>
          <w:rFonts w:eastAsia="Times New Roman" w:cs="Times New Roman"/>
          <w:color w:val="000000"/>
        </w:rPr>
        <w:t>,</w:t>
      </w:r>
      <w:r>
        <w:rPr>
          <w:rFonts w:eastAsia="Times New Roman" w:cs="Times New Roman"/>
          <w:color w:val="000000"/>
        </w:rPr>
        <w:t xml:space="preserve"> also risk the emergence of a </w:t>
      </w:r>
      <w:r>
        <w:rPr>
          <w:rFonts w:cs="Times New Roman"/>
          <w:i/>
          <w:iCs/>
        </w:rPr>
        <w:t>laissez-faire</w:t>
      </w:r>
      <w:r>
        <w:rPr>
          <w:rFonts w:cs="Times New Roman"/>
        </w:rPr>
        <w:t xml:space="preserve"> attitude towards compliance</w:t>
      </w:r>
      <w:r w:rsidR="001D46CD">
        <w:rPr>
          <w:rFonts w:cs="Times New Roman"/>
        </w:rPr>
        <w:t>,</w:t>
      </w:r>
      <w:r>
        <w:rPr>
          <w:rFonts w:cs="Times New Roman"/>
        </w:rPr>
        <w:t xml:space="preserve"> where financial gain and economic convenience is placed before consideration of fundamental rights. Instead, it is submitted that the heightened vigilance which flows from the principles-based approach underpinning the GDPR and Data Protection Act 2018 is more conducive to striking an appropriate balance between protecting fundamental rights and unlocking the socio-economic benefits of data use. </w:t>
      </w:r>
    </w:p>
    <w:p w14:paraId="3A76AC75" w14:textId="77777777" w:rsidR="00C84F9C" w:rsidRDefault="00C84F9C" w:rsidP="00C84F9C">
      <w:pPr>
        <w:spacing w:line="360" w:lineRule="auto"/>
        <w:jc w:val="both"/>
        <w:rPr>
          <w:rFonts w:cs="Times New Roman"/>
        </w:rPr>
      </w:pPr>
    </w:p>
    <w:p w14:paraId="75C2E10A" w14:textId="409D7636" w:rsidR="00C84F9C" w:rsidRDefault="00C84F9C" w:rsidP="00C84F9C">
      <w:pPr>
        <w:spacing w:line="360" w:lineRule="auto"/>
        <w:jc w:val="both"/>
        <w:rPr>
          <w:rFonts w:cs="Times New Roman"/>
        </w:rPr>
      </w:pPr>
      <w:r>
        <w:rPr>
          <w:rFonts w:cs="Times New Roman"/>
        </w:rPr>
        <w:t>Accordingly, insofar as Chapter 3 of the Consultation Document is concerned, while the Faculty of Advocates acknowledges that there may be scope for nuanced and incremental reform to increase clarity and certainty regarding what constitutes responsible data use in the context of international dataflows, it is opposed to a radical overhaul of the current regime in the GDPR, and Data Protection Act 2018</w:t>
      </w:r>
      <w:r w:rsidR="00DB0EE7">
        <w:rPr>
          <w:rFonts w:cs="Times New Roman"/>
        </w:rPr>
        <w:t>,</w:t>
      </w:r>
      <w:r>
        <w:rPr>
          <w:rFonts w:cs="Times New Roman"/>
        </w:rPr>
        <w:t xml:space="preserve"> given the readily apparent risks</w:t>
      </w:r>
      <w:r w:rsidR="00B469D5">
        <w:rPr>
          <w:rFonts w:cs="Times New Roman"/>
        </w:rPr>
        <w:t>,</w:t>
      </w:r>
      <w:r>
        <w:rPr>
          <w:rFonts w:cs="Times New Roman"/>
        </w:rPr>
        <w:t xml:space="preserve"> and the relatively vague information available as to the projected socio-economic advantages thereof. </w:t>
      </w:r>
    </w:p>
    <w:p w14:paraId="504022FC" w14:textId="77777777" w:rsidR="00C84F9C" w:rsidRDefault="00C84F9C" w:rsidP="00C84F9C">
      <w:pPr>
        <w:spacing w:line="360" w:lineRule="auto"/>
        <w:jc w:val="both"/>
        <w:rPr>
          <w:rFonts w:cs="Times New Roman"/>
        </w:rPr>
      </w:pPr>
    </w:p>
    <w:p w14:paraId="478AFC2E" w14:textId="153C564A" w:rsidR="00C84F9C" w:rsidRDefault="00C84F9C" w:rsidP="00C84F9C">
      <w:pPr>
        <w:spacing w:line="360" w:lineRule="auto"/>
        <w:jc w:val="both"/>
        <w:rPr>
          <w:rFonts w:eastAsia="Times New Roman" w:cs="Times New Roman"/>
          <w:color w:val="000000"/>
        </w:rPr>
      </w:pPr>
      <w:r>
        <w:rPr>
          <w:rFonts w:eastAsia="Times New Roman" w:cs="Times New Roman"/>
          <w:color w:val="000000"/>
        </w:rPr>
        <w:t>In this regard, given the adolescent status of the GDPR and the limited time within which the current provisions regarding international</w:t>
      </w:r>
      <w:r w:rsidR="00DC66E9">
        <w:rPr>
          <w:rFonts w:eastAsia="Times New Roman" w:cs="Times New Roman"/>
          <w:color w:val="000000"/>
        </w:rPr>
        <w:t xml:space="preserve"> dataflows have been in force, t</w:t>
      </w:r>
      <w:r>
        <w:rPr>
          <w:rFonts w:eastAsia="Times New Roman" w:cs="Times New Roman"/>
          <w:color w:val="000000"/>
        </w:rPr>
        <w:t xml:space="preserve">he Faculty of Advocates is of the view that consultation on a sector-specific basis over an extended period </w:t>
      </w:r>
      <w:r w:rsidR="00DB0EE7">
        <w:rPr>
          <w:rFonts w:eastAsia="Times New Roman" w:cs="Times New Roman"/>
          <w:color w:val="000000"/>
        </w:rPr>
        <w:t>is required</w:t>
      </w:r>
      <w:r>
        <w:rPr>
          <w:rFonts w:eastAsia="Times New Roman" w:cs="Times New Roman"/>
          <w:color w:val="000000"/>
        </w:rPr>
        <w:t xml:space="preserve"> to ensure any such changes are fully informed</w:t>
      </w:r>
      <w:r w:rsidR="00B469D5">
        <w:rPr>
          <w:rFonts w:eastAsia="Times New Roman" w:cs="Times New Roman"/>
          <w:color w:val="000000"/>
        </w:rPr>
        <w:t>.</w:t>
      </w:r>
      <w:r>
        <w:rPr>
          <w:rFonts w:eastAsia="Times New Roman" w:cs="Times New Roman"/>
          <w:color w:val="000000"/>
        </w:rPr>
        <w:t xml:space="preserve"> </w:t>
      </w:r>
    </w:p>
    <w:p w14:paraId="39F95A5C" w14:textId="77777777" w:rsidR="00C84F9C" w:rsidRDefault="00C84F9C" w:rsidP="00C84F9C">
      <w:pPr>
        <w:spacing w:line="360" w:lineRule="auto"/>
        <w:jc w:val="both"/>
        <w:rPr>
          <w:rFonts w:eastAsia="Times New Roman" w:cs="Times New Roman"/>
          <w:color w:val="000000"/>
        </w:rPr>
      </w:pPr>
    </w:p>
    <w:p w14:paraId="2E0C599C" w14:textId="77777777" w:rsidR="00C84F9C" w:rsidRDefault="00C84F9C" w:rsidP="00C84F9C">
      <w:pPr>
        <w:spacing w:line="360" w:lineRule="auto"/>
        <w:jc w:val="both"/>
        <w:rPr>
          <w:rFonts w:eastAsia="Times New Roman" w:cs="Times New Roman"/>
          <w:b/>
          <w:bCs/>
          <w:color w:val="000000"/>
        </w:rPr>
      </w:pPr>
      <w:r>
        <w:rPr>
          <w:rFonts w:eastAsia="Times New Roman" w:cs="Times New Roman"/>
          <w:b/>
          <w:bCs/>
          <w:color w:val="000000"/>
        </w:rPr>
        <w:t>Delivering Better Public Services</w:t>
      </w:r>
    </w:p>
    <w:p w14:paraId="2AD67583" w14:textId="77777777" w:rsidR="00C84F9C" w:rsidRDefault="00C84F9C" w:rsidP="00C84F9C">
      <w:pPr>
        <w:spacing w:line="360" w:lineRule="auto"/>
        <w:jc w:val="both"/>
        <w:rPr>
          <w:rFonts w:eastAsia="Times New Roman" w:cs="Times New Roman"/>
          <w:b/>
          <w:bCs/>
          <w:color w:val="000000"/>
        </w:rPr>
      </w:pPr>
    </w:p>
    <w:p w14:paraId="0066F324" w14:textId="77777777" w:rsidR="00C84F9C" w:rsidRDefault="00C84F9C" w:rsidP="00C84F9C">
      <w:pPr>
        <w:spacing w:line="360" w:lineRule="auto"/>
        <w:jc w:val="both"/>
        <w:rPr>
          <w:rFonts w:eastAsia="Times New Roman" w:cs="Times New Roman"/>
          <w:color w:val="000000"/>
        </w:rPr>
      </w:pPr>
      <w:r>
        <w:rPr>
          <w:rFonts w:eastAsia="Times New Roman" w:cs="Times New Roman"/>
          <w:color w:val="000000"/>
        </w:rPr>
        <w:t xml:space="preserve">The Faculty of Advocates agrees that countless benefits of data use have been identified in the context of the COVID-19 pandemic. The primary concern of the Faculty of Advocates is again however that over-prescriptive legislation in certain contexts will dilute the heightened vigilance incumbent upon data controllers and processors inherent in the GDPR and Data Protection Act 2018. </w:t>
      </w:r>
    </w:p>
    <w:p w14:paraId="088A69AC" w14:textId="77777777" w:rsidR="00C84F9C" w:rsidRDefault="00C84F9C" w:rsidP="00C84F9C">
      <w:pPr>
        <w:spacing w:line="360" w:lineRule="auto"/>
        <w:jc w:val="both"/>
        <w:rPr>
          <w:rFonts w:eastAsia="Times New Roman" w:cs="Times New Roman"/>
          <w:color w:val="000000"/>
        </w:rPr>
      </w:pPr>
    </w:p>
    <w:p w14:paraId="4104AACD" w14:textId="5C7604A5" w:rsidR="00C84F9C" w:rsidRDefault="00C84F9C" w:rsidP="00C84F9C">
      <w:pPr>
        <w:spacing w:line="360" w:lineRule="auto"/>
        <w:jc w:val="both"/>
        <w:rPr>
          <w:rFonts w:eastAsia="Times New Roman" w:cs="Times New Roman"/>
          <w:color w:val="000000"/>
        </w:rPr>
      </w:pPr>
      <w:r>
        <w:rPr>
          <w:rFonts w:eastAsia="Times New Roman" w:cs="Times New Roman"/>
          <w:color w:val="000000"/>
        </w:rPr>
        <w:lastRenderedPageBreak/>
        <w:t>In this regard the proposal that an organisation</w:t>
      </w:r>
      <w:r w:rsidR="00B469D5">
        <w:rPr>
          <w:rFonts w:eastAsia="Times New Roman" w:cs="Times New Roman"/>
          <w:color w:val="000000"/>
        </w:rPr>
        <w:t>,</w:t>
      </w:r>
      <w:r>
        <w:rPr>
          <w:rFonts w:eastAsia="Times New Roman" w:cs="Times New Roman"/>
          <w:color w:val="000000"/>
        </w:rPr>
        <w:t xml:space="preserve"> asked to process </w:t>
      </w:r>
      <w:r w:rsidR="00DB0EE7">
        <w:rPr>
          <w:rFonts w:eastAsia="Times New Roman" w:cs="Times New Roman"/>
          <w:color w:val="000000"/>
        </w:rPr>
        <w:t xml:space="preserve">data </w:t>
      </w:r>
      <w:r>
        <w:rPr>
          <w:rFonts w:eastAsia="Times New Roman" w:cs="Times New Roman"/>
          <w:color w:val="000000"/>
        </w:rPr>
        <w:t>on behalf of a public body</w:t>
      </w:r>
      <w:r w:rsidR="00B469D5">
        <w:rPr>
          <w:rFonts w:eastAsia="Times New Roman" w:cs="Times New Roman"/>
          <w:color w:val="000000"/>
        </w:rPr>
        <w:t>,</w:t>
      </w:r>
      <w:r>
        <w:rPr>
          <w:rFonts w:eastAsia="Times New Roman" w:cs="Times New Roman"/>
          <w:color w:val="000000"/>
        </w:rPr>
        <w:t xml:space="preserve"> could rely on that body’s lawful ground of processing is troublesome absent specific safeguards in the wording of such legislation. </w:t>
      </w:r>
    </w:p>
    <w:p w14:paraId="6B194EFB" w14:textId="77777777" w:rsidR="00C84F9C" w:rsidRDefault="00C84F9C" w:rsidP="00C84F9C">
      <w:pPr>
        <w:spacing w:line="360" w:lineRule="auto"/>
        <w:jc w:val="both"/>
        <w:rPr>
          <w:rFonts w:eastAsia="Times New Roman" w:cs="Times New Roman"/>
          <w:color w:val="000000"/>
        </w:rPr>
      </w:pPr>
    </w:p>
    <w:p w14:paraId="44F7DFE8" w14:textId="32F4E189" w:rsidR="00C84F9C" w:rsidRDefault="00DC66E9" w:rsidP="00C84F9C">
      <w:pPr>
        <w:spacing w:line="360" w:lineRule="auto"/>
        <w:jc w:val="both"/>
        <w:rPr>
          <w:rFonts w:eastAsia="Times New Roman" w:cs="Times New Roman"/>
          <w:color w:val="000000"/>
        </w:rPr>
      </w:pPr>
      <w:r>
        <w:rPr>
          <w:rFonts w:eastAsia="Times New Roman" w:cs="Times New Roman"/>
          <w:color w:val="000000"/>
        </w:rPr>
        <w:t>While t</w:t>
      </w:r>
      <w:r w:rsidR="00C84F9C">
        <w:rPr>
          <w:rFonts w:eastAsia="Times New Roman" w:cs="Times New Roman"/>
          <w:color w:val="000000"/>
        </w:rPr>
        <w:t xml:space="preserve">he Faculty of Advocates does not oppose such a provision in principle, great care would require to be taken in defining the precise parameters of its operation to avoid logistical concerns, as well as attaching appropriate weight to fundamental rights.  </w:t>
      </w:r>
    </w:p>
    <w:p w14:paraId="74559055" w14:textId="77777777" w:rsidR="00C84F9C" w:rsidRDefault="00C84F9C" w:rsidP="00C84F9C">
      <w:pPr>
        <w:spacing w:line="360" w:lineRule="auto"/>
        <w:jc w:val="both"/>
        <w:rPr>
          <w:rFonts w:eastAsia="Times New Roman" w:cs="Times New Roman"/>
          <w:color w:val="000000"/>
        </w:rPr>
      </w:pPr>
    </w:p>
    <w:p w14:paraId="118F10E8" w14:textId="61449F83" w:rsidR="00C84F9C" w:rsidRDefault="00C84F9C" w:rsidP="00C84F9C">
      <w:pPr>
        <w:spacing w:line="360" w:lineRule="auto"/>
        <w:jc w:val="both"/>
        <w:rPr>
          <w:rFonts w:eastAsia="Times New Roman" w:cs="Times New Roman"/>
          <w:color w:val="000000"/>
        </w:rPr>
      </w:pPr>
      <w:r>
        <w:rPr>
          <w:rFonts w:eastAsia="Times New Roman" w:cs="Times New Roman"/>
          <w:color w:val="000000"/>
        </w:rPr>
        <w:t>There is also a concern that the proposal that public and private bodies may rely on a ground of processing of personal data relating to health premised on “substantial public interest” could develop into a</w:t>
      </w:r>
      <w:r w:rsidR="00D43993">
        <w:rPr>
          <w:rFonts w:eastAsia="Times New Roman" w:cs="Times New Roman"/>
          <w:color w:val="000000"/>
        </w:rPr>
        <w:t xml:space="preserve">n unrestricted </w:t>
      </w:r>
      <w:r>
        <w:rPr>
          <w:rFonts w:eastAsia="Times New Roman" w:cs="Times New Roman"/>
          <w:color w:val="000000"/>
        </w:rPr>
        <w:t>ground of processing</w:t>
      </w:r>
      <w:r w:rsidR="000D5B45">
        <w:rPr>
          <w:rFonts w:eastAsia="Times New Roman" w:cs="Times New Roman"/>
          <w:color w:val="000000"/>
        </w:rPr>
        <w:t>,</w:t>
      </w:r>
      <w:r>
        <w:rPr>
          <w:rFonts w:eastAsia="Times New Roman" w:cs="Times New Roman"/>
          <w:color w:val="000000"/>
        </w:rPr>
        <w:t xml:space="preserve"> if not appropriately restrained </w:t>
      </w:r>
      <w:r w:rsidR="000D5B45">
        <w:rPr>
          <w:rFonts w:eastAsia="Times New Roman" w:cs="Times New Roman"/>
          <w:color w:val="000000"/>
        </w:rPr>
        <w:t xml:space="preserve">by the wording of any </w:t>
      </w:r>
      <w:r>
        <w:rPr>
          <w:rFonts w:eastAsia="Times New Roman" w:cs="Times New Roman"/>
          <w:color w:val="000000"/>
        </w:rPr>
        <w:t xml:space="preserve">such </w:t>
      </w:r>
      <w:r w:rsidR="00D43993">
        <w:rPr>
          <w:rFonts w:eastAsia="Times New Roman" w:cs="Times New Roman"/>
          <w:color w:val="000000"/>
        </w:rPr>
        <w:t xml:space="preserve">legislative </w:t>
      </w:r>
      <w:r>
        <w:rPr>
          <w:rFonts w:eastAsia="Times New Roman" w:cs="Times New Roman"/>
          <w:color w:val="000000"/>
        </w:rPr>
        <w:t xml:space="preserve">provision. </w:t>
      </w:r>
      <w:r w:rsidR="00D43993">
        <w:rPr>
          <w:rFonts w:eastAsia="Times New Roman" w:cs="Times New Roman"/>
          <w:color w:val="000000"/>
        </w:rPr>
        <w:t>That in turn would</w:t>
      </w:r>
      <w:r>
        <w:rPr>
          <w:rFonts w:eastAsia="Times New Roman" w:cs="Times New Roman"/>
          <w:color w:val="000000"/>
        </w:rPr>
        <w:t xml:space="preserve"> pose </w:t>
      </w:r>
      <w:r w:rsidR="00D43993">
        <w:rPr>
          <w:rFonts w:eastAsia="Times New Roman" w:cs="Times New Roman"/>
          <w:color w:val="000000"/>
        </w:rPr>
        <w:t>issues</w:t>
      </w:r>
      <w:r>
        <w:rPr>
          <w:rFonts w:eastAsia="Times New Roman" w:cs="Times New Roman"/>
          <w:color w:val="000000"/>
        </w:rPr>
        <w:t xml:space="preserve"> </w:t>
      </w:r>
      <w:r w:rsidR="00D43993">
        <w:rPr>
          <w:rFonts w:eastAsia="Times New Roman" w:cs="Times New Roman"/>
          <w:color w:val="000000"/>
        </w:rPr>
        <w:t xml:space="preserve">both of </w:t>
      </w:r>
      <w:r>
        <w:rPr>
          <w:rFonts w:eastAsia="Times New Roman" w:cs="Times New Roman"/>
          <w:color w:val="000000"/>
        </w:rPr>
        <w:t xml:space="preserve">fundamental rights and logistical concerns for data controllers and processors. </w:t>
      </w:r>
    </w:p>
    <w:p w14:paraId="388849DB" w14:textId="77777777" w:rsidR="00C84F9C" w:rsidRDefault="00C84F9C" w:rsidP="00C84F9C">
      <w:pPr>
        <w:spacing w:line="360" w:lineRule="auto"/>
        <w:jc w:val="both"/>
        <w:rPr>
          <w:rFonts w:eastAsia="Times New Roman" w:cs="Times New Roman"/>
          <w:color w:val="000000"/>
        </w:rPr>
      </w:pPr>
    </w:p>
    <w:p w14:paraId="5F862B87" w14:textId="369D126C" w:rsidR="00C84F9C" w:rsidRDefault="00DC66E9" w:rsidP="00C84F9C">
      <w:pPr>
        <w:spacing w:line="360" w:lineRule="auto"/>
        <w:jc w:val="both"/>
        <w:rPr>
          <w:rFonts w:eastAsia="Times New Roman" w:cs="Times New Roman"/>
          <w:color w:val="000000"/>
        </w:rPr>
      </w:pPr>
      <w:r>
        <w:rPr>
          <w:rFonts w:eastAsia="Times New Roman" w:cs="Times New Roman"/>
          <w:color w:val="000000"/>
        </w:rPr>
        <w:t>Again, while t</w:t>
      </w:r>
      <w:r w:rsidR="00C84F9C">
        <w:rPr>
          <w:rFonts w:eastAsia="Times New Roman" w:cs="Times New Roman"/>
          <w:color w:val="000000"/>
        </w:rPr>
        <w:t>he Faculty of Advocates does not oppose such a provision in principle, great care would require to be taken in defining the precise parameters of its operation to a</w:t>
      </w:r>
      <w:r w:rsidR="00DB0EE7">
        <w:rPr>
          <w:rFonts w:eastAsia="Times New Roman" w:cs="Times New Roman"/>
          <w:color w:val="000000"/>
        </w:rPr>
        <w:t>ddress</w:t>
      </w:r>
      <w:r w:rsidR="00C84F9C">
        <w:rPr>
          <w:rFonts w:eastAsia="Times New Roman" w:cs="Times New Roman"/>
          <w:color w:val="000000"/>
        </w:rPr>
        <w:t xml:space="preserve"> </w:t>
      </w:r>
      <w:r w:rsidR="00D43993">
        <w:rPr>
          <w:rFonts w:eastAsia="Times New Roman" w:cs="Times New Roman"/>
          <w:color w:val="000000"/>
        </w:rPr>
        <w:t xml:space="preserve">such </w:t>
      </w:r>
      <w:r w:rsidR="00C84F9C">
        <w:rPr>
          <w:rFonts w:eastAsia="Times New Roman" w:cs="Times New Roman"/>
          <w:color w:val="000000"/>
        </w:rPr>
        <w:t xml:space="preserve">logistical concerns, as well as attaching appropriate weight to fundamental rights.  </w:t>
      </w:r>
    </w:p>
    <w:p w14:paraId="3940B322" w14:textId="77777777" w:rsidR="00C84F9C" w:rsidRDefault="00C84F9C" w:rsidP="00C84F9C">
      <w:pPr>
        <w:spacing w:line="360" w:lineRule="auto"/>
        <w:jc w:val="both"/>
        <w:rPr>
          <w:rFonts w:eastAsia="Times New Roman" w:cs="Times New Roman"/>
          <w:color w:val="000000"/>
        </w:rPr>
      </w:pPr>
    </w:p>
    <w:p w14:paraId="0224F812" w14:textId="59903879" w:rsidR="00C84F9C" w:rsidRDefault="00C84F9C" w:rsidP="00C84F9C">
      <w:pPr>
        <w:spacing w:line="360" w:lineRule="auto"/>
        <w:jc w:val="both"/>
        <w:rPr>
          <w:rFonts w:eastAsia="Times New Roman" w:cs="Times New Roman"/>
          <w:color w:val="000000"/>
        </w:rPr>
      </w:pPr>
      <w:r>
        <w:rPr>
          <w:rFonts w:eastAsia="Times New Roman" w:cs="Times New Roman"/>
          <w:color w:val="000000"/>
        </w:rPr>
        <w:t>The Consultation Document furthermore outlines the twin challenges of</w:t>
      </w:r>
      <w:r w:rsidR="00D43993">
        <w:rPr>
          <w:rFonts w:eastAsia="Times New Roman" w:cs="Times New Roman"/>
          <w:color w:val="000000"/>
        </w:rPr>
        <w:t>:</w:t>
      </w:r>
      <w:r>
        <w:rPr>
          <w:rFonts w:eastAsia="Times New Roman" w:cs="Times New Roman"/>
          <w:color w:val="000000"/>
        </w:rPr>
        <w:t xml:space="preserve"> (i) balancing fundamental rights while allowing the socio-economic benefits of data use to be realised</w:t>
      </w:r>
      <w:r w:rsidR="00D43993">
        <w:rPr>
          <w:rFonts w:eastAsia="Times New Roman" w:cs="Times New Roman"/>
          <w:color w:val="000000"/>
        </w:rPr>
        <w:t>;</w:t>
      </w:r>
      <w:r>
        <w:rPr>
          <w:rFonts w:eastAsia="Times New Roman" w:cs="Times New Roman"/>
          <w:color w:val="000000"/>
        </w:rPr>
        <w:t xml:space="preserve"> and (ii) ensuring th</w:t>
      </w:r>
      <w:r w:rsidR="00D43993">
        <w:rPr>
          <w:rFonts w:eastAsia="Times New Roman" w:cs="Times New Roman"/>
          <w:color w:val="000000"/>
        </w:rPr>
        <w:t>at</w:t>
      </w:r>
      <w:r>
        <w:rPr>
          <w:rFonts w:eastAsia="Times New Roman" w:cs="Times New Roman"/>
          <w:color w:val="000000"/>
        </w:rPr>
        <w:t xml:space="preserve"> appropriate safeguards, limitations, and transparency are present in the Data Protection regime. The proposa</w:t>
      </w:r>
      <w:r w:rsidR="00D43993">
        <w:rPr>
          <w:rFonts w:eastAsia="Times New Roman" w:cs="Times New Roman"/>
          <w:color w:val="000000"/>
        </w:rPr>
        <w:t xml:space="preserve">l to </w:t>
      </w:r>
      <w:r>
        <w:rPr>
          <w:rFonts w:eastAsia="Times New Roman" w:cs="Times New Roman"/>
          <w:color w:val="000000"/>
        </w:rPr>
        <w:t>extend</w:t>
      </w:r>
      <w:r w:rsidR="00D43993">
        <w:rPr>
          <w:rFonts w:eastAsia="Times New Roman" w:cs="Times New Roman"/>
          <w:color w:val="000000"/>
        </w:rPr>
        <w:t xml:space="preserve"> </w:t>
      </w:r>
      <w:r>
        <w:rPr>
          <w:rFonts w:eastAsia="Times New Roman" w:cs="Times New Roman"/>
          <w:color w:val="000000"/>
        </w:rPr>
        <w:t>the list of Specific Situations in Schedule 1 to the Data Protection Act 2018</w:t>
      </w:r>
      <w:r w:rsidR="00D43993">
        <w:rPr>
          <w:rFonts w:eastAsia="Times New Roman" w:cs="Times New Roman"/>
          <w:color w:val="000000"/>
        </w:rPr>
        <w:t xml:space="preserve"> and that of </w:t>
      </w:r>
      <w:r>
        <w:rPr>
          <w:rFonts w:eastAsia="Times New Roman" w:cs="Times New Roman"/>
          <w:color w:val="000000"/>
        </w:rPr>
        <w:t xml:space="preserve">including a statutory definition of “substantial public interest” are identified as </w:t>
      </w:r>
      <w:r w:rsidR="006E784F">
        <w:rPr>
          <w:rFonts w:eastAsia="Times New Roman" w:cs="Times New Roman"/>
          <w:color w:val="000000"/>
        </w:rPr>
        <w:t xml:space="preserve">assisting </w:t>
      </w:r>
      <w:r>
        <w:rPr>
          <w:rFonts w:eastAsia="Times New Roman" w:cs="Times New Roman"/>
          <w:color w:val="000000"/>
        </w:rPr>
        <w:t>in this regard.</w:t>
      </w:r>
    </w:p>
    <w:p w14:paraId="5F4D8069" w14:textId="77777777" w:rsidR="00C84F9C" w:rsidRDefault="00C84F9C" w:rsidP="00C84F9C">
      <w:pPr>
        <w:spacing w:line="360" w:lineRule="auto"/>
        <w:jc w:val="both"/>
        <w:rPr>
          <w:rFonts w:eastAsia="Times New Roman" w:cs="Times New Roman"/>
          <w:color w:val="000000"/>
        </w:rPr>
      </w:pPr>
    </w:p>
    <w:p w14:paraId="3B442CFD" w14:textId="77777777" w:rsidR="00C84F9C" w:rsidRDefault="00C84F9C" w:rsidP="00C84F9C">
      <w:pPr>
        <w:spacing w:line="360" w:lineRule="auto"/>
        <w:jc w:val="both"/>
        <w:rPr>
          <w:rFonts w:eastAsia="Times New Roman" w:cs="Times New Roman"/>
          <w:color w:val="000000"/>
        </w:rPr>
      </w:pPr>
      <w:r>
        <w:rPr>
          <w:rFonts w:eastAsia="Times New Roman" w:cs="Times New Roman"/>
          <w:color w:val="000000"/>
        </w:rPr>
        <w:t xml:space="preserve">For the purposes of Chapter 4 of the Consultation Document, the Faculty of Advocates maintains its view that the principle-based approach of the GDPR and Data Protection Act 2018 ought to remain the guiding factor in any form of decision making by data controllers and processors, and indeed any nuanced or incremental reforms to the current Data Protection regime. </w:t>
      </w:r>
    </w:p>
    <w:p w14:paraId="417EC585" w14:textId="77777777" w:rsidR="00C84F9C" w:rsidRDefault="00C84F9C" w:rsidP="00C84F9C">
      <w:pPr>
        <w:spacing w:line="360" w:lineRule="auto"/>
        <w:jc w:val="both"/>
        <w:rPr>
          <w:rFonts w:eastAsia="Times New Roman" w:cs="Times New Roman"/>
          <w:color w:val="000000"/>
        </w:rPr>
      </w:pPr>
    </w:p>
    <w:p w14:paraId="376C5077" w14:textId="47367B3A" w:rsidR="00C84F9C" w:rsidRDefault="00C84F9C" w:rsidP="00C84F9C">
      <w:pPr>
        <w:spacing w:line="360" w:lineRule="auto"/>
        <w:jc w:val="both"/>
        <w:rPr>
          <w:rFonts w:eastAsia="Times New Roman" w:cs="Times New Roman"/>
          <w:color w:val="000000"/>
        </w:rPr>
      </w:pPr>
      <w:r w:rsidRPr="00DB0EE7">
        <w:rPr>
          <w:rFonts w:eastAsia="Times New Roman" w:cs="Times New Roman"/>
          <w:color w:val="000000"/>
        </w:rPr>
        <w:t>The broadening of the existing provisions is acknowledged in the Consultation Document to risk data</w:t>
      </w:r>
      <w:r w:rsidR="00543C3A">
        <w:rPr>
          <w:rFonts w:eastAsia="Times New Roman" w:cs="Times New Roman"/>
          <w:color w:val="000000"/>
        </w:rPr>
        <w:t xml:space="preserve"> </w:t>
      </w:r>
      <w:r w:rsidRPr="00DB0EE7">
        <w:rPr>
          <w:rFonts w:eastAsia="Times New Roman" w:cs="Times New Roman"/>
          <w:color w:val="000000"/>
        </w:rPr>
        <w:t xml:space="preserve">processing which could not reasonably have been expected, while the drafting of further provisions or definitions in narrow terms could both straitjacket the application of the </w:t>
      </w:r>
      <w:r w:rsidRPr="00DB0EE7">
        <w:rPr>
          <w:rFonts w:eastAsia="Times New Roman" w:cs="Times New Roman"/>
          <w:color w:val="000000"/>
        </w:rPr>
        <w:lastRenderedPageBreak/>
        <w:t>law to new circumstances and result in further lack of certainty</w:t>
      </w:r>
      <w:r w:rsidR="00DC66E9">
        <w:rPr>
          <w:rFonts w:eastAsia="Times New Roman" w:cs="Times New Roman"/>
          <w:color w:val="000000"/>
        </w:rPr>
        <w:t>. While t</w:t>
      </w:r>
      <w:r>
        <w:rPr>
          <w:rFonts w:eastAsia="Times New Roman" w:cs="Times New Roman"/>
          <w:color w:val="000000"/>
        </w:rPr>
        <w:t>he Faculty of Advocates is not opposed to nuanced and incremental reform in the interests of clarity and certainty so long as it is informed by meaningful consultation, it is submitted that due to the adolescence of the GDPR and the absence of any long-term studies or impact assessments in relation to the effectiveness thereof in the context of the COVID-19 pandemic, the case has no</w:t>
      </w:r>
      <w:r w:rsidR="007A51B9">
        <w:rPr>
          <w:rFonts w:eastAsia="Times New Roman" w:cs="Times New Roman"/>
          <w:color w:val="000000"/>
        </w:rPr>
        <w:t>t been made for wholesale change</w:t>
      </w:r>
      <w:r>
        <w:rPr>
          <w:rFonts w:eastAsia="Times New Roman" w:cs="Times New Roman"/>
          <w:color w:val="000000"/>
        </w:rPr>
        <w:t xml:space="preserve">. </w:t>
      </w:r>
    </w:p>
    <w:p w14:paraId="5157B434" w14:textId="77777777" w:rsidR="00C84F9C" w:rsidRDefault="00C84F9C" w:rsidP="00C84F9C">
      <w:pPr>
        <w:spacing w:line="360" w:lineRule="auto"/>
        <w:jc w:val="both"/>
        <w:rPr>
          <w:rFonts w:eastAsia="Times New Roman" w:cs="Times New Roman"/>
          <w:color w:val="000000"/>
        </w:rPr>
      </w:pPr>
    </w:p>
    <w:p w14:paraId="2CA919F7" w14:textId="77777777" w:rsidR="00C84F9C" w:rsidRDefault="00C84F9C" w:rsidP="00C84F9C">
      <w:pPr>
        <w:spacing w:line="360" w:lineRule="auto"/>
        <w:jc w:val="both"/>
        <w:rPr>
          <w:rFonts w:eastAsia="Times New Roman" w:cs="Times New Roman"/>
          <w:b/>
          <w:bCs/>
          <w:color w:val="000000"/>
        </w:rPr>
      </w:pPr>
      <w:r>
        <w:rPr>
          <w:rFonts w:eastAsia="Times New Roman" w:cs="Times New Roman"/>
          <w:b/>
          <w:bCs/>
          <w:color w:val="000000"/>
        </w:rPr>
        <w:t>Reform of the Information Commissioner’s Office</w:t>
      </w:r>
    </w:p>
    <w:p w14:paraId="6E55E1DC" w14:textId="77777777" w:rsidR="00C84F9C" w:rsidRDefault="00C84F9C" w:rsidP="00C84F9C">
      <w:pPr>
        <w:spacing w:line="360" w:lineRule="auto"/>
        <w:jc w:val="both"/>
        <w:rPr>
          <w:rFonts w:eastAsia="Times New Roman" w:cs="Times New Roman"/>
          <w:b/>
          <w:bCs/>
          <w:color w:val="000000"/>
        </w:rPr>
      </w:pPr>
    </w:p>
    <w:p w14:paraId="6FC6998C" w14:textId="77777777" w:rsidR="00C84F9C" w:rsidRDefault="00C84F9C" w:rsidP="00C84F9C">
      <w:pPr>
        <w:spacing w:line="360" w:lineRule="auto"/>
        <w:jc w:val="both"/>
        <w:rPr>
          <w:rFonts w:eastAsia="Times New Roman" w:cs="Times New Roman"/>
          <w:color w:val="000000"/>
        </w:rPr>
      </w:pPr>
      <w:r>
        <w:rPr>
          <w:rFonts w:eastAsia="Times New Roman" w:cs="Times New Roman"/>
          <w:color w:val="000000"/>
        </w:rPr>
        <w:t>The Faculty of Advocates holds the view that in the absence of any compelling evidence that the Information Commissioner’s Office is unfit for purpose in terms of its form and function, the question of its reform is premature.</w:t>
      </w:r>
    </w:p>
    <w:p w14:paraId="30FD8DF7" w14:textId="77777777" w:rsidR="00C84F9C" w:rsidRDefault="00C84F9C" w:rsidP="00C84F9C">
      <w:pPr>
        <w:spacing w:line="360" w:lineRule="auto"/>
        <w:jc w:val="both"/>
        <w:rPr>
          <w:rFonts w:eastAsia="Times New Roman" w:cs="Times New Roman"/>
          <w:color w:val="000000"/>
        </w:rPr>
      </w:pPr>
    </w:p>
    <w:p w14:paraId="0A3C0B2F" w14:textId="2C017E76" w:rsidR="00C84F9C" w:rsidRDefault="00C84F9C" w:rsidP="00C84F9C">
      <w:pPr>
        <w:spacing w:line="360" w:lineRule="auto"/>
        <w:jc w:val="both"/>
        <w:rPr>
          <w:rFonts w:eastAsia="Times New Roman" w:cs="Times New Roman"/>
          <w:color w:val="000000"/>
        </w:rPr>
      </w:pPr>
      <w:r>
        <w:rPr>
          <w:rFonts w:eastAsia="Times New Roman" w:cs="Times New Roman"/>
          <w:color w:val="000000"/>
        </w:rPr>
        <w:t xml:space="preserve">The proposals insofar as they concern the powers of the government to appoint the CEO of the ICO, and approve its guidance, immediately give rise to concerns that the ability of the ICO to act as an independent regulator will be compromised. It is the position of the Faculty of Advocates that public trust and confidence in the ICO, </w:t>
      </w:r>
      <w:r w:rsidR="00543C3A">
        <w:rPr>
          <w:rFonts w:eastAsia="Times New Roman" w:cs="Times New Roman"/>
          <w:color w:val="000000"/>
        </w:rPr>
        <w:t>as</w:t>
      </w:r>
      <w:r>
        <w:rPr>
          <w:rFonts w:eastAsia="Times New Roman" w:cs="Times New Roman"/>
          <w:color w:val="000000"/>
        </w:rPr>
        <w:t xml:space="preserve"> well as the Data Protection regime generally</w:t>
      </w:r>
      <w:r w:rsidR="00543C3A">
        <w:rPr>
          <w:rFonts w:eastAsia="Times New Roman" w:cs="Times New Roman"/>
          <w:color w:val="000000"/>
        </w:rPr>
        <w:t>,</w:t>
      </w:r>
      <w:r>
        <w:rPr>
          <w:rFonts w:eastAsia="Times New Roman" w:cs="Times New Roman"/>
          <w:color w:val="000000"/>
        </w:rPr>
        <w:t xml:space="preserve"> would be best served through maintaining the independence of the ICO as a regulator. As such</w:t>
      </w:r>
      <w:r w:rsidR="006E784F">
        <w:rPr>
          <w:rFonts w:eastAsia="Times New Roman" w:cs="Times New Roman"/>
          <w:color w:val="000000"/>
        </w:rPr>
        <w:t>,</w:t>
      </w:r>
      <w:r>
        <w:rPr>
          <w:rFonts w:eastAsia="Times New Roman" w:cs="Times New Roman"/>
          <w:color w:val="000000"/>
        </w:rPr>
        <w:t xml:space="preserve"> while structural reforms within the ICO may </w:t>
      </w:r>
      <w:r w:rsidR="006E784F">
        <w:rPr>
          <w:rFonts w:eastAsia="Times New Roman" w:cs="Times New Roman"/>
          <w:color w:val="000000"/>
        </w:rPr>
        <w:t>improve</w:t>
      </w:r>
      <w:r>
        <w:rPr>
          <w:rFonts w:eastAsia="Times New Roman" w:cs="Times New Roman"/>
          <w:color w:val="000000"/>
        </w:rPr>
        <w:t xml:space="preserve"> its effective and efficient functioning as a regulator, care must be taken not to compromise the </w:t>
      </w:r>
      <w:r w:rsidR="00543C3A">
        <w:rPr>
          <w:rFonts w:eastAsia="Times New Roman" w:cs="Times New Roman"/>
          <w:color w:val="000000"/>
        </w:rPr>
        <w:t xml:space="preserve">ICO’s </w:t>
      </w:r>
      <w:r>
        <w:rPr>
          <w:rFonts w:eastAsia="Times New Roman" w:cs="Times New Roman"/>
          <w:color w:val="000000"/>
        </w:rPr>
        <w:t>independence</w:t>
      </w:r>
      <w:r w:rsidR="00543C3A">
        <w:rPr>
          <w:rFonts w:eastAsia="Times New Roman" w:cs="Times New Roman"/>
          <w:color w:val="000000"/>
        </w:rPr>
        <w:t>.</w:t>
      </w:r>
    </w:p>
    <w:p w14:paraId="3C85C45E" w14:textId="77777777" w:rsidR="00C84F9C" w:rsidRDefault="00C84F9C" w:rsidP="00C84F9C">
      <w:pPr>
        <w:spacing w:line="360" w:lineRule="auto"/>
        <w:jc w:val="both"/>
        <w:rPr>
          <w:rFonts w:eastAsia="Times New Roman" w:cs="Times New Roman"/>
          <w:color w:val="000000"/>
        </w:rPr>
      </w:pPr>
    </w:p>
    <w:p w14:paraId="72CB3020" w14:textId="05295107" w:rsidR="00C84F9C" w:rsidRDefault="00C84F9C" w:rsidP="00C84F9C">
      <w:pPr>
        <w:spacing w:line="360" w:lineRule="auto"/>
        <w:jc w:val="both"/>
        <w:rPr>
          <w:rFonts w:eastAsia="Times New Roman" w:cs="Times New Roman"/>
          <w:color w:val="0B0C0C"/>
        </w:rPr>
      </w:pPr>
      <w:r>
        <w:rPr>
          <w:rFonts w:eastAsia="Times New Roman" w:cs="Times New Roman"/>
          <w:color w:val="000000"/>
        </w:rPr>
        <w:t>The Faculty of Advocates cautions against a wholesale expansion of the enforcement powers of the ICO. The enforcement powers of the ICO are already expansive, being both investigative and punitive in nature. The proposed powers, specifically (i) commissioning technical reports; and (ii) compelling witnesses to give answers at interview, if introduced without appropriate procedural safeguards</w:t>
      </w:r>
      <w:r w:rsidR="00543C3A">
        <w:rPr>
          <w:rFonts w:eastAsia="Times New Roman" w:cs="Times New Roman"/>
          <w:color w:val="000000"/>
        </w:rPr>
        <w:t>,</w:t>
      </w:r>
      <w:r>
        <w:rPr>
          <w:rFonts w:eastAsia="Times New Roman" w:cs="Times New Roman"/>
          <w:color w:val="000000"/>
        </w:rPr>
        <w:t xml:space="preserve"> risk the ICO taking on an inquisitorial function which is potentially at cross-purposes with the objective of </w:t>
      </w:r>
      <w:r>
        <w:rPr>
          <w:rFonts w:eastAsia="Times New Roman" w:cs="Times New Roman"/>
          <w:color w:val="0B0C0C"/>
        </w:rPr>
        <w:t>strengthening, sustaining, and safeguarding public confidence in the Data Protection regime. As such</w:t>
      </w:r>
      <w:r w:rsidR="003D0E38">
        <w:rPr>
          <w:rFonts w:eastAsia="Times New Roman" w:cs="Times New Roman"/>
          <w:color w:val="0B0C0C"/>
        </w:rPr>
        <w:t>,</w:t>
      </w:r>
      <w:r>
        <w:rPr>
          <w:rFonts w:eastAsia="Times New Roman" w:cs="Times New Roman"/>
          <w:color w:val="0B0C0C"/>
        </w:rPr>
        <w:t xml:space="preserve"> </w:t>
      </w:r>
      <w:r w:rsidR="003D0E38">
        <w:rPr>
          <w:rFonts w:eastAsia="Times New Roman" w:cs="Times New Roman"/>
          <w:color w:val="0B0C0C"/>
        </w:rPr>
        <w:t xml:space="preserve">while </w:t>
      </w:r>
      <w:r>
        <w:rPr>
          <w:rFonts w:eastAsia="Times New Roman" w:cs="Times New Roman"/>
          <w:color w:val="0B0C0C"/>
        </w:rPr>
        <w:t xml:space="preserve">the </w:t>
      </w:r>
      <w:r w:rsidR="003D0E38">
        <w:rPr>
          <w:rFonts w:eastAsia="Times New Roman" w:cs="Times New Roman"/>
          <w:color w:val="0B0C0C"/>
        </w:rPr>
        <w:t xml:space="preserve">powers </w:t>
      </w:r>
      <w:r>
        <w:rPr>
          <w:rFonts w:eastAsia="Times New Roman" w:cs="Times New Roman"/>
          <w:color w:val="0B0C0C"/>
        </w:rPr>
        <w:t xml:space="preserve">of the ICO may be </w:t>
      </w:r>
      <w:r w:rsidR="003D0E38">
        <w:rPr>
          <w:rFonts w:eastAsia="Times New Roman" w:cs="Times New Roman"/>
          <w:color w:val="0B0C0C"/>
        </w:rPr>
        <w:t xml:space="preserve">increased </w:t>
      </w:r>
      <w:r>
        <w:rPr>
          <w:rFonts w:eastAsia="Times New Roman" w:cs="Times New Roman"/>
          <w:color w:val="0B0C0C"/>
        </w:rPr>
        <w:t xml:space="preserve">in the interests of improving its effectiveness as a regulator, this should not be at the expense of confidence </w:t>
      </w:r>
      <w:r w:rsidR="00543C3A">
        <w:rPr>
          <w:rFonts w:eastAsia="Times New Roman" w:cs="Times New Roman"/>
          <w:color w:val="0B0C0C"/>
        </w:rPr>
        <w:t>in the ICO</w:t>
      </w:r>
      <w:r w:rsidR="003D0E38">
        <w:rPr>
          <w:rFonts w:eastAsia="Times New Roman" w:cs="Times New Roman"/>
          <w:color w:val="0B0C0C"/>
        </w:rPr>
        <w:t xml:space="preserve">; following </w:t>
      </w:r>
      <w:r>
        <w:rPr>
          <w:rFonts w:eastAsia="Times New Roman" w:cs="Times New Roman"/>
          <w:color w:val="0B0C0C"/>
        </w:rPr>
        <w:t>a change in public and private perception</w:t>
      </w:r>
      <w:r w:rsidR="003D0E38">
        <w:rPr>
          <w:rFonts w:eastAsia="Times New Roman" w:cs="Times New Roman"/>
          <w:color w:val="0B0C0C"/>
        </w:rPr>
        <w:t xml:space="preserve"> to the effect that</w:t>
      </w:r>
      <w:r>
        <w:rPr>
          <w:rFonts w:eastAsia="Times New Roman" w:cs="Times New Roman"/>
          <w:color w:val="0B0C0C"/>
        </w:rPr>
        <w:t xml:space="preserve"> the ICO is an inquisitorial body regulating through fear of non-compliance. </w:t>
      </w:r>
    </w:p>
    <w:p w14:paraId="78021DA1" w14:textId="77777777" w:rsidR="00C84F9C" w:rsidRDefault="00C84F9C" w:rsidP="00C84F9C">
      <w:pPr>
        <w:spacing w:line="360" w:lineRule="auto"/>
        <w:jc w:val="both"/>
        <w:rPr>
          <w:rFonts w:eastAsia="Times New Roman" w:cs="Times New Roman"/>
          <w:color w:val="0B0C0C"/>
        </w:rPr>
      </w:pPr>
    </w:p>
    <w:p w14:paraId="043799CF" w14:textId="77777777" w:rsidR="00C84F9C" w:rsidRDefault="00C84F9C" w:rsidP="00C84F9C">
      <w:pPr>
        <w:spacing w:line="360" w:lineRule="auto"/>
        <w:jc w:val="both"/>
        <w:rPr>
          <w:rFonts w:eastAsia="Times New Roman" w:cs="Times New Roman"/>
          <w:color w:val="0B0C0C"/>
        </w:rPr>
      </w:pPr>
      <w:r>
        <w:rPr>
          <w:rFonts w:eastAsia="Times New Roman" w:cs="Times New Roman"/>
          <w:color w:val="0B0C0C"/>
        </w:rPr>
        <w:lastRenderedPageBreak/>
        <w:t xml:space="preserve">The Faculty of Advocates is however supportive of the proposed reforms in Chapter 5 of the Consultation Document insofar as they aim to promote greater accountability of the ICO to Parliament and the public. It is also recognised that there may be some structural and resource-based utility in expanding the remit of the ICO into other areas including Biometrics and Surveillance. </w:t>
      </w:r>
    </w:p>
    <w:p w14:paraId="64145876" w14:textId="77777777" w:rsidR="00C84F9C" w:rsidRDefault="00C84F9C" w:rsidP="00C84F9C">
      <w:pPr>
        <w:spacing w:line="360" w:lineRule="auto"/>
        <w:jc w:val="both"/>
        <w:rPr>
          <w:rFonts w:eastAsia="Times New Roman" w:cs="Times New Roman"/>
          <w:color w:val="0B0C0C"/>
        </w:rPr>
      </w:pPr>
    </w:p>
    <w:p w14:paraId="7B92A4E5" w14:textId="64BC3B3D" w:rsidR="00C84F9C" w:rsidRDefault="00C84F9C" w:rsidP="00C84F9C">
      <w:pPr>
        <w:spacing w:line="360" w:lineRule="auto"/>
        <w:jc w:val="both"/>
        <w:rPr>
          <w:rFonts w:eastAsia="Times New Roman" w:cs="Times New Roman"/>
          <w:color w:val="0B0C0C"/>
        </w:rPr>
      </w:pPr>
      <w:r>
        <w:rPr>
          <w:rFonts w:eastAsia="Times New Roman" w:cs="Times New Roman"/>
          <w:color w:val="0B0C0C"/>
        </w:rPr>
        <w:t xml:space="preserve">However, such reforms should proceed </w:t>
      </w:r>
      <w:r w:rsidR="003D0E38">
        <w:rPr>
          <w:rFonts w:eastAsia="Times New Roman" w:cs="Times New Roman"/>
          <w:color w:val="0B0C0C"/>
        </w:rPr>
        <w:t xml:space="preserve">following </w:t>
      </w:r>
      <w:r>
        <w:rPr>
          <w:rFonts w:eastAsia="Times New Roman" w:cs="Times New Roman"/>
          <w:color w:val="0B0C0C"/>
        </w:rPr>
        <w:t>careful consultation with the ICO, publi</w:t>
      </w:r>
      <w:r w:rsidR="00E178AD">
        <w:rPr>
          <w:rFonts w:eastAsia="Times New Roman" w:cs="Times New Roman"/>
          <w:color w:val="0B0C0C"/>
        </w:rPr>
        <w:t>c, private, and third sectors</w:t>
      </w:r>
      <w:r>
        <w:rPr>
          <w:rFonts w:eastAsia="Times New Roman" w:cs="Times New Roman"/>
          <w:color w:val="0B0C0C"/>
        </w:rPr>
        <w:t>, as well as other regulators</w:t>
      </w:r>
      <w:r w:rsidR="003D0E38">
        <w:rPr>
          <w:rFonts w:eastAsia="Times New Roman" w:cs="Times New Roman"/>
          <w:color w:val="0B0C0C"/>
        </w:rPr>
        <w:t>,</w:t>
      </w:r>
      <w:r>
        <w:rPr>
          <w:rFonts w:eastAsia="Times New Roman" w:cs="Times New Roman"/>
          <w:color w:val="0B0C0C"/>
        </w:rPr>
        <w:t xml:space="preserve"> to ensure a fair and effective allocation of resources to enable effective functioning as an independent regulator. In this regard the Faculty of Advocates </w:t>
      </w:r>
      <w:r w:rsidR="003D0E38">
        <w:rPr>
          <w:rFonts w:eastAsia="Times New Roman" w:cs="Times New Roman"/>
          <w:color w:val="0B0C0C"/>
        </w:rPr>
        <w:t>submits</w:t>
      </w:r>
      <w:r>
        <w:rPr>
          <w:rFonts w:eastAsia="Times New Roman" w:cs="Times New Roman"/>
          <w:color w:val="0B0C0C"/>
        </w:rPr>
        <w:t xml:space="preserve"> that reducing any practical or administrative burdens on the ICO should not come at the expense of introducing high risk approaches to data use and compromising fundamental rights of data subjects.</w:t>
      </w:r>
    </w:p>
    <w:p w14:paraId="43CCD2F6" w14:textId="77777777" w:rsidR="00C84F9C" w:rsidRDefault="00C84F9C" w:rsidP="00C84F9C">
      <w:pPr>
        <w:spacing w:line="360" w:lineRule="auto"/>
        <w:jc w:val="both"/>
        <w:rPr>
          <w:rFonts w:eastAsia="Times New Roman" w:cs="Times New Roman"/>
          <w:color w:val="0B0C0C"/>
        </w:rPr>
      </w:pPr>
    </w:p>
    <w:p w14:paraId="23C60541" w14:textId="77777777" w:rsidR="00C84F9C" w:rsidRDefault="00C84F9C" w:rsidP="00C84F9C">
      <w:pPr>
        <w:spacing w:line="360" w:lineRule="auto"/>
        <w:jc w:val="both"/>
        <w:rPr>
          <w:rFonts w:eastAsia="Times New Roman" w:cs="Times New Roman"/>
          <w:b/>
          <w:bCs/>
          <w:color w:val="0B0C0C"/>
        </w:rPr>
      </w:pPr>
      <w:r>
        <w:rPr>
          <w:rFonts w:eastAsia="Times New Roman" w:cs="Times New Roman"/>
          <w:b/>
          <w:bCs/>
          <w:color w:val="0B0C0C"/>
        </w:rPr>
        <w:t>Conclusions</w:t>
      </w:r>
    </w:p>
    <w:p w14:paraId="7EC458F0" w14:textId="77777777" w:rsidR="00C84F9C" w:rsidRDefault="00C84F9C" w:rsidP="00C84F9C">
      <w:pPr>
        <w:spacing w:line="360" w:lineRule="auto"/>
        <w:jc w:val="both"/>
        <w:rPr>
          <w:rFonts w:eastAsia="Times New Roman" w:cs="Times New Roman"/>
          <w:b/>
          <w:bCs/>
          <w:color w:val="0B0C0C"/>
        </w:rPr>
      </w:pPr>
    </w:p>
    <w:p w14:paraId="4D94F695" w14:textId="38580503" w:rsidR="00C84F9C" w:rsidRDefault="00C84F9C" w:rsidP="00C84F9C">
      <w:pPr>
        <w:spacing w:line="360" w:lineRule="auto"/>
        <w:jc w:val="both"/>
        <w:rPr>
          <w:rFonts w:eastAsia="Times New Roman" w:cs="Times New Roman"/>
          <w:color w:val="0B0C0C"/>
        </w:rPr>
      </w:pPr>
      <w:r>
        <w:rPr>
          <w:rFonts w:eastAsia="Times New Roman" w:cs="Times New Roman"/>
          <w:color w:val="0B0C0C"/>
        </w:rPr>
        <w:t xml:space="preserve">The Faculty of Advocates would emphasise its position in support of the policy principle that </w:t>
      </w:r>
      <w:r>
        <w:rPr>
          <w:rFonts w:cs="Times New Roman"/>
        </w:rPr>
        <w:t>from principle emerges practice; from practice emerges predictability; from predictability emerges public confidence; and th</w:t>
      </w:r>
      <w:r w:rsidR="00543C3A">
        <w:rPr>
          <w:rFonts w:cs="Times New Roman"/>
        </w:rPr>
        <w:t>us</w:t>
      </w:r>
      <w:r>
        <w:rPr>
          <w:rFonts w:cs="Times New Roman"/>
        </w:rPr>
        <w:t xml:space="preserve"> the socio-economic benefits of data use may be realised. While it is accepted that the case has been made for nuanced and incremental reform, it is premature and misconceived to suggest that wholesale reform of the GDPR and Data Protection Act 2018 is required to achieve the policy objectives outlined in the Consultation Document. </w:t>
      </w:r>
    </w:p>
    <w:p w14:paraId="47B6AC22" w14:textId="77777777" w:rsidR="000D2A05" w:rsidRDefault="000D2A05"/>
    <w:sectPr w:rsidR="000D2A05">
      <w:footerReference w:type="even"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43C" w16cex:dateUtc="2021-11-16T18:17:00Z"/>
  <w16cex:commentExtensible w16cex:durableId="253E8031" w16cex:dateUtc="2021-11-16T19:08:00Z"/>
  <w16cex:commentExtensible w16cex:durableId="253E81A6" w16cex:dateUtc="2021-11-16T19:14:00Z"/>
  <w16cex:commentExtensible w16cex:durableId="253E8F24" w16cex:dateUtc="2021-11-16T20:12:00Z"/>
  <w16cex:commentExtensible w16cex:durableId="253E8F6E" w16cex:dateUtc="2021-11-16T20:13:00Z"/>
  <w16cex:commentExtensible w16cex:durableId="253E9075" w16cex:dateUtc="2021-11-16T20:17:00Z"/>
  <w16cex:commentExtensible w16cex:durableId="253E9130" w16cex:dateUtc="2021-11-16T20:21:00Z"/>
  <w16cex:commentExtensible w16cex:durableId="253E922D" w16cex:dateUtc="2021-11-16T20:25:00Z"/>
  <w16cex:commentExtensible w16cex:durableId="253E963B" w16cex:dateUtc="2021-11-16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A913B" w16cid:durableId="253E743C"/>
  <w16cid:commentId w16cid:paraId="746CEC4D" w16cid:durableId="253E8031"/>
  <w16cid:commentId w16cid:paraId="4F0410E9" w16cid:durableId="253E81A6"/>
  <w16cid:commentId w16cid:paraId="59418F8D" w16cid:durableId="253E8F24"/>
  <w16cid:commentId w16cid:paraId="053B1E92" w16cid:durableId="253E8F6E"/>
  <w16cid:commentId w16cid:paraId="793C6C6E" w16cid:durableId="253E9075"/>
  <w16cid:commentId w16cid:paraId="6E347D75" w16cid:durableId="253E9130"/>
  <w16cid:commentId w16cid:paraId="177CC41C" w16cid:durableId="253E922D"/>
  <w16cid:commentId w16cid:paraId="667F607B" w16cid:durableId="253E96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38ED" w14:textId="77777777" w:rsidR="00FF7EA5" w:rsidRDefault="00FF7EA5" w:rsidP="00924D89">
      <w:r>
        <w:separator/>
      </w:r>
    </w:p>
  </w:endnote>
  <w:endnote w:type="continuationSeparator" w:id="0">
    <w:p w14:paraId="4454965C" w14:textId="77777777" w:rsidR="00FF7EA5" w:rsidRDefault="00FF7EA5" w:rsidP="0092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DF33" w14:textId="77777777" w:rsidR="00B6074F" w:rsidRDefault="00B6074F" w:rsidP="00924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EE13FD" w14:textId="77777777" w:rsidR="00B6074F" w:rsidRDefault="00B60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492D" w14:textId="24428185" w:rsidR="00B6074F" w:rsidRDefault="00B6074F" w:rsidP="00924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989">
      <w:rPr>
        <w:rStyle w:val="PageNumber"/>
        <w:noProof/>
      </w:rPr>
      <w:t>10</w:t>
    </w:r>
    <w:r>
      <w:rPr>
        <w:rStyle w:val="PageNumber"/>
      </w:rPr>
      <w:fldChar w:fldCharType="end"/>
    </w:r>
  </w:p>
  <w:p w14:paraId="1D7FC8F6" w14:textId="77777777" w:rsidR="00B6074F" w:rsidRDefault="00B6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D4AB" w14:textId="77777777" w:rsidR="00FF7EA5" w:rsidRDefault="00FF7EA5" w:rsidP="00924D89">
      <w:r>
        <w:separator/>
      </w:r>
    </w:p>
  </w:footnote>
  <w:footnote w:type="continuationSeparator" w:id="0">
    <w:p w14:paraId="3763890A" w14:textId="77777777" w:rsidR="00FF7EA5" w:rsidRDefault="00FF7EA5" w:rsidP="00924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9C"/>
    <w:rsid w:val="000871B5"/>
    <w:rsid w:val="000D2A05"/>
    <w:rsid w:val="000D5B45"/>
    <w:rsid w:val="000F7E53"/>
    <w:rsid w:val="00165C74"/>
    <w:rsid w:val="001D46AB"/>
    <w:rsid w:val="001D46CD"/>
    <w:rsid w:val="002059A4"/>
    <w:rsid w:val="00247979"/>
    <w:rsid w:val="00322846"/>
    <w:rsid w:val="0036645E"/>
    <w:rsid w:val="003D0E38"/>
    <w:rsid w:val="00435071"/>
    <w:rsid w:val="004451B5"/>
    <w:rsid w:val="0048320E"/>
    <w:rsid w:val="00543C3A"/>
    <w:rsid w:val="00550EEC"/>
    <w:rsid w:val="00626FC7"/>
    <w:rsid w:val="0066422A"/>
    <w:rsid w:val="006D2FA4"/>
    <w:rsid w:val="006E784F"/>
    <w:rsid w:val="007304B8"/>
    <w:rsid w:val="007A51B9"/>
    <w:rsid w:val="00853738"/>
    <w:rsid w:val="00924D89"/>
    <w:rsid w:val="00A064EF"/>
    <w:rsid w:val="00A94D01"/>
    <w:rsid w:val="00AD3631"/>
    <w:rsid w:val="00AE0A2E"/>
    <w:rsid w:val="00B469D5"/>
    <w:rsid w:val="00B5182D"/>
    <w:rsid w:val="00B55191"/>
    <w:rsid w:val="00B6074F"/>
    <w:rsid w:val="00B71870"/>
    <w:rsid w:val="00BB1EEE"/>
    <w:rsid w:val="00C84F9C"/>
    <w:rsid w:val="00D25989"/>
    <w:rsid w:val="00D275BF"/>
    <w:rsid w:val="00D43993"/>
    <w:rsid w:val="00DB0EE7"/>
    <w:rsid w:val="00DC5A9B"/>
    <w:rsid w:val="00DC66E9"/>
    <w:rsid w:val="00DE57BE"/>
    <w:rsid w:val="00E178AD"/>
    <w:rsid w:val="00EA5C76"/>
    <w:rsid w:val="00FF7E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37364"/>
  <w15:docId w15:val="{A29F4F58-8F9C-4FEE-97F6-BA4650F3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Body)"/>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9C"/>
    <w:pPr>
      <w:suppressAutoHyphens/>
    </w:pPr>
    <w:rPr>
      <w:rFonts w:eastAsia="SimSu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4F9C"/>
    <w:pPr>
      <w:spacing w:before="100" w:after="100"/>
    </w:pPr>
    <w:rPr>
      <w:rFonts w:eastAsia="Times New Roman" w:cs="Times New Roman"/>
    </w:rPr>
  </w:style>
  <w:style w:type="paragraph" w:styleId="Revision">
    <w:name w:val="Revision"/>
    <w:hidden/>
    <w:uiPriority w:val="99"/>
    <w:semiHidden/>
    <w:rsid w:val="00B71870"/>
    <w:rPr>
      <w:rFonts w:eastAsia="SimSun"/>
      <w:lang w:eastAsia="ar-SA"/>
    </w:rPr>
  </w:style>
  <w:style w:type="character" w:styleId="CommentReference">
    <w:name w:val="annotation reference"/>
    <w:basedOn w:val="DefaultParagraphFont"/>
    <w:uiPriority w:val="99"/>
    <w:semiHidden/>
    <w:unhideWhenUsed/>
    <w:rsid w:val="00247979"/>
    <w:rPr>
      <w:sz w:val="16"/>
      <w:szCs w:val="16"/>
    </w:rPr>
  </w:style>
  <w:style w:type="paragraph" w:styleId="CommentText">
    <w:name w:val="annotation text"/>
    <w:basedOn w:val="Normal"/>
    <w:link w:val="CommentTextChar"/>
    <w:uiPriority w:val="99"/>
    <w:unhideWhenUsed/>
    <w:rsid w:val="00247979"/>
    <w:rPr>
      <w:sz w:val="20"/>
      <w:szCs w:val="20"/>
    </w:rPr>
  </w:style>
  <w:style w:type="character" w:customStyle="1" w:styleId="CommentTextChar">
    <w:name w:val="Comment Text Char"/>
    <w:basedOn w:val="DefaultParagraphFont"/>
    <w:link w:val="CommentText"/>
    <w:uiPriority w:val="99"/>
    <w:rsid w:val="00247979"/>
    <w:rPr>
      <w:rFonts w:eastAsia="SimSun"/>
      <w:sz w:val="20"/>
      <w:szCs w:val="20"/>
      <w:lang w:eastAsia="ar-SA"/>
    </w:rPr>
  </w:style>
  <w:style w:type="paragraph" w:styleId="CommentSubject">
    <w:name w:val="annotation subject"/>
    <w:basedOn w:val="CommentText"/>
    <w:next w:val="CommentText"/>
    <w:link w:val="CommentSubjectChar"/>
    <w:uiPriority w:val="99"/>
    <w:semiHidden/>
    <w:unhideWhenUsed/>
    <w:rsid w:val="00247979"/>
    <w:rPr>
      <w:b/>
      <w:bCs/>
    </w:rPr>
  </w:style>
  <w:style w:type="character" w:customStyle="1" w:styleId="CommentSubjectChar">
    <w:name w:val="Comment Subject Char"/>
    <w:basedOn w:val="CommentTextChar"/>
    <w:link w:val="CommentSubject"/>
    <w:uiPriority w:val="99"/>
    <w:semiHidden/>
    <w:rsid w:val="00247979"/>
    <w:rPr>
      <w:rFonts w:eastAsia="SimSun"/>
      <w:b/>
      <w:bCs/>
      <w:sz w:val="20"/>
      <w:szCs w:val="20"/>
      <w:lang w:eastAsia="ar-SA"/>
    </w:rPr>
  </w:style>
  <w:style w:type="paragraph" w:styleId="BalloonText">
    <w:name w:val="Balloon Text"/>
    <w:basedOn w:val="Normal"/>
    <w:link w:val="BalloonTextChar"/>
    <w:uiPriority w:val="99"/>
    <w:semiHidden/>
    <w:unhideWhenUsed/>
    <w:rsid w:val="00B5182D"/>
    <w:rPr>
      <w:rFonts w:ascii="Lucida Grande" w:hAnsi="Lucida Grande"/>
      <w:sz w:val="18"/>
      <w:szCs w:val="18"/>
    </w:rPr>
  </w:style>
  <w:style w:type="character" w:customStyle="1" w:styleId="BalloonTextChar">
    <w:name w:val="Balloon Text Char"/>
    <w:basedOn w:val="DefaultParagraphFont"/>
    <w:link w:val="BalloonText"/>
    <w:uiPriority w:val="99"/>
    <w:semiHidden/>
    <w:rsid w:val="00B5182D"/>
    <w:rPr>
      <w:rFonts w:ascii="Lucida Grande" w:eastAsia="SimSun" w:hAnsi="Lucida Grande"/>
      <w:sz w:val="18"/>
      <w:szCs w:val="18"/>
      <w:lang w:eastAsia="ar-SA"/>
    </w:rPr>
  </w:style>
  <w:style w:type="paragraph" w:styleId="Footer">
    <w:name w:val="footer"/>
    <w:basedOn w:val="Normal"/>
    <w:link w:val="FooterChar"/>
    <w:uiPriority w:val="99"/>
    <w:unhideWhenUsed/>
    <w:rsid w:val="00924D89"/>
    <w:pPr>
      <w:tabs>
        <w:tab w:val="center" w:pos="4320"/>
        <w:tab w:val="right" w:pos="8640"/>
      </w:tabs>
    </w:pPr>
  </w:style>
  <w:style w:type="character" w:customStyle="1" w:styleId="FooterChar">
    <w:name w:val="Footer Char"/>
    <w:basedOn w:val="DefaultParagraphFont"/>
    <w:link w:val="Footer"/>
    <w:uiPriority w:val="99"/>
    <w:rsid w:val="00924D89"/>
    <w:rPr>
      <w:rFonts w:eastAsia="SimSun"/>
      <w:lang w:eastAsia="ar-SA"/>
    </w:rPr>
  </w:style>
  <w:style w:type="character" w:styleId="PageNumber">
    <w:name w:val="page number"/>
    <w:basedOn w:val="DefaultParagraphFont"/>
    <w:uiPriority w:val="99"/>
    <w:semiHidden/>
    <w:unhideWhenUsed/>
    <w:rsid w:val="0092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5B10-46EA-43CB-A65C-34F18D55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Miller</dc:creator>
  <cp:keywords/>
  <dc:description/>
  <cp:lastModifiedBy>Fay McIsaac</cp:lastModifiedBy>
  <cp:revision>2</cp:revision>
  <dcterms:created xsi:type="dcterms:W3CDTF">2021-12-14T16:30:00Z</dcterms:created>
  <dcterms:modified xsi:type="dcterms:W3CDTF">2021-12-14T16:30:00Z</dcterms:modified>
</cp:coreProperties>
</file>