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E177C" w14:textId="77777777" w:rsidR="006D1D27" w:rsidRDefault="006D1D27" w:rsidP="00284A1A">
      <w:pPr>
        <w:jc w:val="center"/>
      </w:pPr>
      <w:bookmarkStart w:id="0" w:name="_GoBack"/>
      <w:bookmarkEnd w:id="0"/>
      <w:r>
        <w:t>RESPONSE</w:t>
      </w:r>
    </w:p>
    <w:p w14:paraId="2DE7D7F9" w14:textId="77777777" w:rsidR="006D1D27" w:rsidRDefault="006D1D27" w:rsidP="00284A1A">
      <w:pPr>
        <w:jc w:val="center"/>
      </w:pPr>
    </w:p>
    <w:p w14:paraId="325542E6" w14:textId="77777777" w:rsidR="006D1D27" w:rsidRDefault="006D1D27" w:rsidP="00284A1A">
      <w:pPr>
        <w:jc w:val="center"/>
      </w:pPr>
      <w:r>
        <w:t>by</w:t>
      </w:r>
    </w:p>
    <w:p w14:paraId="0BF44A6C" w14:textId="77777777" w:rsidR="006D1D27" w:rsidRDefault="006D1D27" w:rsidP="00284A1A">
      <w:pPr>
        <w:jc w:val="center"/>
      </w:pPr>
    </w:p>
    <w:p w14:paraId="35D7D50C" w14:textId="77777777" w:rsidR="006D1D27" w:rsidRDefault="006D1D27" w:rsidP="00284A1A">
      <w:pPr>
        <w:jc w:val="center"/>
      </w:pPr>
      <w:r>
        <w:t>FACULTY OF ADVOCATES</w:t>
      </w:r>
    </w:p>
    <w:p w14:paraId="3414EF99" w14:textId="77777777" w:rsidR="006D1D27" w:rsidRDefault="006D1D27" w:rsidP="00284A1A">
      <w:pPr>
        <w:jc w:val="center"/>
      </w:pPr>
    </w:p>
    <w:p w14:paraId="223889F0" w14:textId="482A7639" w:rsidR="006D1D27" w:rsidRDefault="006D1D27" w:rsidP="00284A1A">
      <w:pPr>
        <w:jc w:val="center"/>
      </w:pPr>
      <w:r>
        <w:t>to</w:t>
      </w:r>
    </w:p>
    <w:p w14:paraId="6E108F5B" w14:textId="77777777" w:rsidR="006D1D27" w:rsidRDefault="006D1D27" w:rsidP="00284A1A">
      <w:pPr>
        <w:jc w:val="center"/>
      </w:pPr>
    </w:p>
    <w:p w14:paraId="0C5887BA" w14:textId="77777777" w:rsidR="006D1D27" w:rsidRDefault="006D1D27" w:rsidP="00284A1A">
      <w:pPr>
        <w:jc w:val="center"/>
      </w:pPr>
      <w:r>
        <w:t>SCOTTISH PARLIAMENT’S JUSTICE COMMITTEE</w:t>
      </w:r>
    </w:p>
    <w:p w14:paraId="3B5BB32D" w14:textId="77777777" w:rsidR="006D1D27" w:rsidRDefault="006D1D27" w:rsidP="00284A1A">
      <w:pPr>
        <w:jc w:val="center"/>
      </w:pPr>
    </w:p>
    <w:p w14:paraId="47F59F90" w14:textId="77777777" w:rsidR="006D1D27" w:rsidRDefault="006D1D27" w:rsidP="00284A1A">
      <w:pPr>
        <w:jc w:val="center"/>
      </w:pPr>
      <w:r>
        <w:t>on</w:t>
      </w:r>
    </w:p>
    <w:p w14:paraId="34F72577" w14:textId="77777777" w:rsidR="006D1D27" w:rsidRDefault="006D1D27" w:rsidP="00284A1A">
      <w:pPr>
        <w:jc w:val="center"/>
      </w:pPr>
    </w:p>
    <w:p w14:paraId="08650B05" w14:textId="77777777" w:rsidR="006D1D27" w:rsidRDefault="006D1D27" w:rsidP="00284A1A">
      <w:pPr>
        <w:jc w:val="center"/>
      </w:pPr>
      <w:r>
        <w:t>APOLOGIES (SCOTLAND) BILL</w:t>
      </w:r>
    </w:p>
    <w:p w14:paraId="2764688E" w14:textId="77777777" w:rsidR="006D1D27" w:rsidRDefault="006D1D27" w:rsidP="00284A1A">
      <w:pPr>
        <w:pBdr>
          <w:bottom w:val="double" w:sz="6" w:space="1" w:color="auto"/>
        </w:pBdr>
        <w:jc w:val="both"/>
      </w:pPr>
    </w:p>
    <w:p w14:paraId="520BC9BB" w14:textId="77777777" w:rsidR="006D1D27" w:rsidRDefault="006D1D27" w:rsidP="00284A1A">
      <w:pPr>
        <w:jc w:val="both"/>
      </w:pPr>
    </w:p>
    <w:p w14:paraId="2946E2FA" w14:textId="77777777" w:rsidR="006D1D27" w:rsidRDefault="006D1D27" w:rsidP="00284A1A">
      <w:pPr>
        <w:jc w:val="both"/>
        <w:rPr>
          <w:rFonts w:eastAsia="Times New Roman" w:cs="Times New Roman"/>
        </w:rPr>
      </w:pPr>
      <w:r>
        <w:t xml:space="preserve">Further to the call for evidence by the Scottish Parliament’s Justice Committee in connection with </w:t>
      </w:r>
      <w:r>
        <w:rPr>
          <w:rFonts w:eastAsia="Times New Roman" w:cs="Times New Roman"/>
        </w:rPr>
        <w:t>the general principles of the Apologies (Scotland) Bill, which was introduced in the Scottish Parliament on 3 March 2015.</w:t>
      </w:r>
    </w:p>
    <w:p w14:paraId="1F7E54B5" w14:textId="77777777" w:rsidR="006D1D27" w:rsidRDefault="006D1D27" w:rsidP="00284A1A">
      <w:pPr>
        <w:jc w:val="both"/>
        <w:rPr>
          <w:rFonts w:eastAsia="Times New Roman" w:cs="Times New Roman"/>
        </w:rPr>
      </w:pPr>
    </w:p>
    <w:p w14:paraId="4C846CF5" w14:textId="77777777" w:rsidR="006D1D27" w:rsidRDefault="006D1D27" w:rsidP="00284A1A">
      <w:pPr>
        <w:jc w:val="both"/>
        <w:rPr>
          <w:rFonts w:eastAsia="Times New Roman" w:cs="Times New Roman"/>
        </w:rPr>
      </w:pPr>
      <w:r>
        <w:rPr>
          <w:rFonts w:eastAsia="Times New Roman" w:cs="Times New Roman"/>
          <w:b/>
        </w:rPr>
        <w:t>General Comments</w:t>
      </w:r>
    </w:p>
    <w:p w14:paraId="0F54DE9B" w14:textId="4EA93E9B" w:rsidR="006D1D27" w:rsidRDefault="001C1AE6" w:rsidP="00284A1A">
      <w:pPr>
        <w:jc w:val="both"/>
        <w:rPr>
          <w:rFonts w:eastAsia="Times New Roman" w:cs="Times New Roman"/>
        </w:rPr>
      </w:pPr>
      <w:r>
        <w:rPr>
          <w:rFonts w:eastAsia="Times New Roman" w:cs="Times New Roman"/>
        </w:rPr>
        <w:t xml:space="preserve">1. </w:t>
      </w:r>
      <w:r w:rsidR="006D1D27">
        <w:rPr>
          <w:rFonts w:eastAsia="Times New Roman" w:cs="Times New Roman"/>
        </w:rPr>
        <w:t>The Faculty of Advocates (the Faculty) responded in 2012 to a consultation document issued on 29 June 2012 in connection with a draft proposal by Margaret Mitchell MSP, Member for the Central Scotland Region, with a view to introducing a Member’s Bill in the Scottish Parliament. At that time there was no draft Bill.</w:t>
      </w:r>
    </w:p>
    <w:p w14:paraId="45EC8D7E" w14:textId="77777777" w:rsidR="006D1D27" w:rsidRDefault="006D1D27" w:rsidP="00284A1A">
      <w:pPr>
        <w:jc w:val="both"/>
        <w:rPr>
          <w:rFonts w:eastAsia="Times New Roman" w:cs="Times New Roman"/>
        </w:rPr>
      </w:pPr>
    </w:p>
    <w:p w14:paraId="23D3575C" w14:textId="77777777" w:rsidR="00284A1A" w:rsidRDefault="001C1AE6" w:rsidP="00284A1A">
      <w:pPr>
        <w:jc w:val="both"/>
        <w:rPr>
          <w:rFonts w:eastAsia="Times New Roman" w:cs="Times New Roman"/>
        </w:rPr>
      </w:pPr>
      <w:r>
        <w:rPr>
          <w:rFonts w:eastAsia="Times New Roman" w:cs="Times New Roman"/>
        </w:rPr>
        <w:t xml:space="preserve">2. </w:t>
      </w:r>
      <w:r w:rsidR="006D1D27">
        <w:rPr>
          <w:rFonts w:eastAsia="Times New Roman" w:cs="Times New Roman"/>
        </w:rPr>
        <w:t xml:space="preserve">The Faculty supported the general aim, which was to improve complainer satisfaction and reduce the incidence of litigation and the unnecessary prolongation of complaints and grievance procedures; but doubted whether legislation was necessary, or would have the desired effect. </w:t>
      </w:r>
      <w:r w:rsidR="0017569A">
        <w:rPr>
          <w:rFonts w:eastAsia="Times New Roman" w:cs="Times New Roman"/>
        </w:rPr>
        <w:t xml:space="preserve">The Faculty noted the lack of empirical studies cited by the consultation </w:t>
      </w:r>
      <w:r w:rsidR="00EE23B8">
        <w:rPr>
          <w:rFonts w:eastAsia="Times New Roman" w:cs="Times New Roman"/>
        </w:rPr>
        <w:t>document that</w:t>
      </w:r>
      <w:r w:rsidR="0017569A">
        <w:rPr>
          <w:rFonts w:eastAsia="Times New Roman" w:cs="Times New Roman"/>
        </w:rPr>
        <w:t xml:space="preserve"> clearly </w:t>
      </w:r>
      <w:r w:rsidR="00CF3F4C">
        <w:rPr>
          <w:rFonts w:eastAsia="Times New Roman" w:cs="Times New Roman"/>
        </w:rPr>
        <w:t>demonstrated</w:t>
      </w:r>
      <w:r w:rsidR="0017569A">
        <w:rPr>
          <w:rFonts w:eastAsia="Times New Roman" w:cs="Times New Roman"/>
        </w:rPr>
        <w:t xml:space="preserve"> the causal potency of apologies legislation</w:t>
      </w:r>
      <w:r w:rsidR="00CF3F4C">
        <w:rPr>
          <w:rFonts w:eastAsia="Times New Roman" w:cs="Times New Roman"/>
        </w:rPr>
        <w:t>,</w:t>
      </w:r>
      <w:r w:rsidR="0017569A">
        <w:rPr>
          <w:rFonts w:eastAsia="Times New Roman" w:cs="Times New Roman"/>
        </w:rPr>
        <w:t xml:space="preserve"> and the absence of obvious effect notwithstanding the practice of apology in the National Health Service in England and Wales, and in Scotland. The Faculty suggested that there was little evidence of apologies currently having an impact on the outcome of </w:t>
      </w:r>
      <w:r w:rsidR="007B2A6A">
        <w:rPr>
          <w:rFonts w:eastAsia="Times New Roman" w:cs="Times New Roman"/>
        </w:rPr>
        <w:t xml:space="preserve">Scots </w:t>
      </w:r>
      <w:r w:rsidR="0017569A">
        <w:rPr>
          <w:rFonts w:eastAsia="Times New Roman" w:cs="Times New Roman"/>
        </w:rPr>
        <w:t>civil litigation, noting that only one example was given by the consultation document and that</w:t>
      </w:r>
      <w:r w:rsidR="00652F3C">
        <w:rPr>
          <w:rFonts w:eastAsia="Times New Roman" w:cs="Times New Roman"/>
        </w:rPr>
        <w:t xml:space="preserve"> there was nothing to suggest that the apology had pl</w:t>
      </w:r>
      <w:r w:rsidR="007B2A6A">
        <w:rPr>
          <w:rFonts w:eastAsia="Times New Roman" w:cs="Times New Roman"/>
        </w:rPr>
        <w:t>ayed any significant part in that</w:t>
      </w:r>
      <w:r w:rsidR="00652F3C">
        <w:rPr>
          <w:rFonts w:eastAsia="Times New Roman" w:cs="Times New Roman"/>
        </w:rPr>
        <w:t xml:space="preserve"> decision</w:t>
      </w:r>
      <w:r w:rsidR="0017569A">
        <w:rPr>
          <w:rFonts w:eastAsia="Times New Roman" w:cs="Times New Roman"/>
        </w:rPr>
        <w:t>.</w:t>
      </w:r>
    </w:p>
    <w:p w14:paraId="7DCB1C2A" w14:textId="77777777" w:rsidR="00284A1A" w:rsidRDefault="00284A1A" w:rsidP="00284A1A">
      <w:pPr>
        <w:jc w:val="both"/>
        <w:rPr>
          <w:rFonts w:eastAsia="Times New Roman" w:cs="Times New Roman"/>
        </w:rPr>
        <w:sectPr w:rsidR="00284A1A" w:rsidSect="00284A1A">
          <w:headerReference w:type="default" r:id="rId7"/>
          <w:footerReference w:type="default" r:id="rId8"/>
          <w:pgSz w:w="11900" w:h="16840"/>
          <w:pgMar w:top="4321" w:right="1797" w:bottom="1440" w:left="1797" w:header="709" w:footer="709" w:gutter="0"/>
          <w:cols w:space="708"/>
          <w:docGrid w:linePitch="360"/>
        </w:sectPr>
      </w:pPr>
    </w:p>
    <w:p w14:paraId="22377842" w14:textId="2A874E4B" w:rsidR="00EE23B8" w:rsidRDefault="00EE23B8" w:rsidP="00284A1A">
      <w:pPr>
        <w:jc w:val="both"/>
        <w:rPr>
          <w:rFonts w:eastAsia="Times New Roman" w:cs="Times New Roman"/>
        </w:rPr>
      </w:pPr>
    </w:p>
    <w:p w14:paraId="25ABA946" w14:textId="77777777" w:rsidR="00EE23B8" w:rsidRDefault="00EE23B8" w:rsidP="00284A1A">
      <w:pPr>
        <w:jc w:val="both"/>
        <w:rPr>
          <w:rFonts w:eastAsia="Times New Roman" w:cs="Times New Roman"/>
        </w:rPr>
      </w:pPr>
    </w:p>
    <w:p w14:paraId="1EFCE28F" w14:textId="21A8CB07" w:rsidR="006D1D27" w:rsidRDefault="00EE23B8" w:rsidP="00284A1A">
      <w:pPr>
        <w:jc w:val="both"/>
        <w:rPr>
          <w:rFonts w:eastAsia="Times New Roman" w:cs="Times New Roman"/>
        </w:rPr>
      </w:pPr>
      <w:r>
        <w:rPr>
          <w:rFonts w:eastAsia="Times New Roman" w:cs="Times New Roman"/>
        </w:rPr>
        <w:t>3. The Faculty has concerns arising from the definition of “apology” in the Bill, and the intended application of the section 1 protection to all civil proceedings</w:t>
      </w:r>
      <w:r w:rsidR="00FF254C">
        <w:rPr>
          <w:rFonts w:eastAsia="Times New Roman" w:cs="Times New Roman"/>
        </w:rPr>
        <w:t>,</w:t>
      </w:r>
      <w:r>
        <w:rPr>
          <w:rFonts w:eastAsia="Times New Roman" w:cs="Times New Roman"/>
        </w:rPr>
        <w:t xml:space="preserve"> with the exception of Fatal Accident Inquiries and defamation actions. </w:t>
      </w:r>
      <w:r w:rsidR="0017569A">
        <w:rPr>
          <w:rFonts w:eastAsia="Times New Roman" w:cs="Times New Roman"/>
        </w:rPr>
        <w:t xml:space="preserve">  </w:t>
      </w:r>
    </w:p>
    <w:p w14:paraId="668C3BDF" w14:textId="77777777" w:rsidR="00652F3C" w:rsidRDefault="00652F3C" w:rsidP="00284A1A">
      <w:pPr>
        <w:jc w:val="both"/>
        <w:rPr>
          <w:rFonts w:eastAsia="Times New Roman" w:cs="Times New Roman"/>
        </w:rPr>
      </w:pPr>
    </w:p>
    <w:p w14:paraId="2CE1D57F" w14:textId="47A6271F" w:rsidR="00A0763A" w:rsidRDefault="00EE23B8" w:rsidP="00284A1A">
      <w:pPr>
        <w:jc w:val="both"/>
        <w:rPr>
          <w:rFonts w:eastAsia="Times New Roman" w:cs="Times New Roman"/>
        </w:rPr>
      </w:pPr>
      <w:r>
        <w:rPr>
          <w:rFonts w:eastAsia="Times New Roman" w:cs="Times New Roman"/>
        </w:rPr>
        <w:t>4</w:t>
      </w:r>
      <w:r w:rsidR="001C1AE6">
        <w:rPr>
          <w:rFonts w:eastAsia="Times New Roman" w:cs="Times New Roman"/>
        </w:rPr>
        <w:t xml:space="preserve">. </w:t>
      </w:r>
      <w:r w:rsidR="00652F3C">
        <w:rPr>
          <w:rFonts w:eastAsia="Times New Roman" w:cs="Times New Roman"/>
        </w:rPr>
        <w:t xml:space="preserve">The Faculty </w:t>
      </w:r>
      <w:r w:rsidR="00B17EAF">
        <w:rPr>
          <w:rFonts w:eastAsia="Times New Roman" w:cs="Times New Roman"/>
        </w:rPr>
        <w:t>notes</w:t>
      </w:r>
      <w:r w:rsidR="00652F3C">
        <w:rPr>
          <w:rFonts w:eastAsia="Times New Roman" w:cs="Times New Roman"/>
        </w:rPr>
        <w:t xml:space="preserve"> the inclusion in the Financial Memorandum </w:t>
      </w:r>
      <w:r w:rsidR="00EE2C5C">
        <w:rPr>
          <w:rFonts w:eastAsia="Times New Roman" w:cs="Times New Roman"/>
        </w:rPr>
        <w:t xml:space="preserve">accompanying the Bill of </w:t>
      </w:r>
      <w:r w:rsidR="00652F3C">
        <w:rPr>
          <w:rFonts w:eastAsia="Times New Roman" w:cs="Times New Roman"/>
        </w:rPr>
        <w:t>references</w:t>
      </w:r>
      <w:r w:rsidR="00B17EAF">
        <w:rPr>
          <w:rFonts w:eastAsia="Times New Roman" w:cs="Times New Roman"/>
        </w:rPr>
        <w:t xml:space="preserve"> said to support causal efficacy</w:t>
      </w:r>
      <w:r w:rsidR="00EE2C5C">
        <w:rPr>
          <w:rFonts w:eastAsia="Times New Roman" w:cs="Times New Roman"/>
        </w:rPr>
        <w:t xml:space="preserve">. </w:t>
      </w:r>
      <w:r w:rsidR="00652F3C">
        <w:rPr>
          <w:rFonts w:eastAsia="Times New Roman" w:cs="Times New Roman"/>
        </w:rPr>
        <w:t xml:space="preserve">  </w:t>
      </w:r>
      <w:r w:rsidR="00EE2C5C">
        <w:rPr>
          <w:rFonts w:eastAsia="Times New Roman" w:cs="Times New Roman"/>
        </w:rPr>
        <w:t>However the Facult</w:t>
      </w:r>
      <w:r w:rsidR="00A0763A">
        <w:rPr>
          <w:rFonts w:eastAsia="Times New Roman" w:cs="Times New Roman"/>
        </w:rPr>
        <w:t>y is concerned that</w:t>
      </w:r>
      <w:r>
        <w:rPr>
          <w:rFonts w:eastAsia="Times New Roman" w:cs="Times New Roman"/>
        </w:rPr>
        <w:t xml:space="preserve"> (a) the references may not in fact be supportive, and</w:t>
      </w:r>
      <w:r w:rsidR="00A0763A">
        <w:rPr>
          <w:rFonts w:eastAsia="Times New Roman" w:cs="Times New Roman"/>
        </w:rPr>
        <w:t xml:space="preserve"> </w:t>
      </w:r>
      <w:r>
        <w:rPr>
          <w:rFonts w:eastAsia="Times New Roman" w:cs="Times New Roman"/>
        </w:rPr>
        <w:t xml:space="preserve">(b) </w:t>
      </w:r>
      <w:r w:rsidR="00A0763A">
        <w:rPr>
          <w:rFonts w:eastAsia="Times New Roman" w:cs="Times New Roman"/>
        </w:rPr>
        <w:t xml:space="preserve">the quotation from a </w:t>
      </w:r>
      <w:r w:rsidR="00EE2C5C">
        <w:rPr>
          <w:rFonts w:eastAsia="Times New Roman" w:cs="Times New Roman"/>
        </w:rPr>
        <w:t>2011 paper by Ho and Liu</w:t>
      </w:r>
      <w:r w:rsidR="00A0763A">
        <w:rPr>
          <w:rFonts w:eastAsia="Times New Roman" w:cs="Times New Roman"/>
        </w:rPr>
        <w:t xml:space="preserve"> in paragraph 10 of the Financial Memorandum has been taken out of context. </w:t>
      </w:r>
    </w:p>
    <w:p w14:paraId="115AA754" w14:textId="77777777" w:rsidR="00B52576" w:rsidRDefault="00B52576" w:rsidP="00284A1A">
      <w:pPr>
        <w:jc w:val="both"/>
        <w:rPr>
          <w:rFonts w:eastAsia="Times New Roman" w:cs="Times New Roman"/>
        </w:rPr>
      </w:pPr>
    </w:p>
    <w:p w14:paraId="5CEF6C14" w14:textId="4C37B663" w:rsidR="00B52576" w:rsidRDefault="00EE23B8" w:rsidP="00284A1A">
      <w:pPr>
        <w:jc w:val="both"/>
        <w:rPr>
          <w:rFonts w:eastAsia="Times New Roman" w:cs="Times New Roman"/>
        </w:rPr>
      </w:pPr>
      <w:r>
        <w:rPr>
          <w:rFonts w:eastAsia="Times New Roman" w:cs="Times New Roman"/>
        </w:rPr>
        <w:t>5</w:t>
      </w:r>
      <w:r w:rsidR="00B77B2D">
        <w:rPr>
          <w:rFonts w:eastAsia="Times New Roman" w:cs="Times New Roman"/>
        </w:rPr>
        <w:t xml:space="preserve">. </w:t>
      </w:r>
      <w:r w:rsidR="00B52576">
        <w:rPr>
          <w:rFonts w:eastAsia="Times New Roman" w:cs="Times New Roman"/>
        </w:rPr>
        <w:t xml:space="preserve">The principal object of the Bill is that, by </w:t>
      </w:r>
      <w:r w:rsidR="00B77B2D">
        <w:rPr>
          <w:rFonts w:eastAsia="Times New Roman" w:cs="Times New Roman"/>
        </w:rPr>
        <w:t xml:space="preserve">the </w:t>
      </w:r>
      <w:r w:rsidR="00B52576">
        <w:rPr>
          <w:rFonts w:eastAsia="Times New Roman" w:cs="Times New Roman"/>
        </w:rPr>
        <w:t>protec</w:t>
      </w:r>
      <w:r w:rsidR="00B77B2D">
        <w:rPr>
          <w:rFonts w:eastAsia="Times New Roman" w:cs="Times New Roman"/>
        </w:rPr>
        <w:t>tion of</w:t>
      </w:r>
      <w:r w:rsidR="00B52576">
        <w:rPr>
          <w:rFonts w:eastAsia="Times New Roman" w:cs="Times New Roman"/>
        </w:rPr>
        <w:t xml:space="preserve"> apologies (as defined), a culture of apology would be promoted, and resort to litigation wou</w:t>
      </w:r>
      <w:r w:rsidR="00B77B2D">
        <w:rPr>
          <w:rFonts w:eastAsia="Times New Roman" w:cs="Times New Roman"/>
        </w:rPr>
        <w:t>ld reduce. T</w:t>
      </w:r>
      <w:r w:rsidR="00B52576">
        <w:rPr>
          <w:rFonts w:eastAsia="Times New Roman" w:cs="Times New Roman"/>
        </w:rPr>
        <w:t xml:space="preserve">he Faculty is not clear how this might come about, or what the effects might be. The merit of such protection is intrinsically bound to its effects, which, in our view, remain to be demonstrated. </w:t>
      </w:r>
    </w:p>
    <w:p w14:paraId="6EC829CC" w14:textId="77777777" w:rsidR="006058BF" w:rsidRDefault="006058BF" w:rsidP="00284A1A">
      <w:pPr>
        <w:jc w:val="both"/>
        <w:rPr>
          <w:rFonts w:eastAsia="Times New Roman" w:cs="Times New Roman"/>
        </w:rPr>
      </w:pPr>
    </w:p>
    <w:p w14:paraId="0FF86DF3" w14:textId="105CE3E9" w:rsidR="00A0763A" w:rsidRDefault="00EE23B8" w:rsidP="00284A1A">
      <w:pPr>
        <w:jc w:val="both"/>
        <w:rPr>
          <w:rFonts w:eastAsia="Times New Roman" w:cs="Times New Roman"/>
        </w:rPr>
      </w:pPr>
      <w:r>
        <w:rPr>
          <w:rFonts w:eastAsia="Times New Roman" w:cs="Times New Roman"/>
        </w:rPr>
        <w:t>6</w:t>
      </w:r>
      <w:r w:rsidR="00A44004">
        <w:rPr>
          <w:rFonts w:eastAsia="Times New Roman" w:cs="Times New Roman"/>
        </w:rPr>
        <w:t xml:space="preserve">. </w:t>
      </w:r>
      <w:r w:rsidR="006058BF">
        <w:rPr>
          <w:rFonts w:eastAsia="Times New Roman" w:cs="Times New Roman"/>
        </w:rPr>
        <w:t xml:space="preserve">The Faculty would draw attention to an error in paragraph 11 of the Financial Memorandum. It is not, and </w:t>
      </w:r>
      <w:r w:rsidR="007B2A6A">
        <w:rPr>
          <w:rFonts w:eastAsia="Times New Roman" w:cs="Times New Roman"/>
        </w:rPr>
        <w:t>has never</w:t>
      </w:r>
      <w:r w:rsidR="006058BF">
        <w:rPr>
          <w:rFonts w:eastAsia="Times New Roman" w:cs="Times New Roman"/>
        </w:rPr>
        <w:t xml:space="preserve"> been, the case that “all personal injury claims for £5,000 or more are heard at the Court of Session”.  Claims for less than £5,000 (now £100,000) could not be brought in the Court of Session. Claims for sums in excess of £5,000 have always been able to be brought in the Sheriff Court. </w:t>
      </w:r>
    </w:p>
    <w:p w14:paraId="489EBA0D" w14:textId="77777777" w:rsidR="006D1D27" w:rsidRDefault="006D1D27" w:rsidP="00284A1A">
      <w:pPr>
        <w:jc w:val="both"/>
      </w:pPr>
    </w:p>
    <w:p w14:paraId="0C545619" w14:textId="77777777" w:rsidR="006D1D27" w:rsidRDefault="006D1D27" w:rsidP="00284A1A">
      <w:pPr>
        <w:jc w:val="both"/>
      </w:pPr>
    </w:p>
    <w:p w14:paraId="1A77BA9A" w14:textId="77777777" w:rsidR="006D1D27" w:rsidRDefault="006D1D27" w:rsidP="00284A1A">
      <w:pPr>
        <w:jc w:val="both"/>
        <w:rPr>
          <w:rFonts w:eastAsia="Times New Roman" w:cs="Times New Roman"/>
          <w:b/>
          <w:lang w:val="en-GB"/>
        </w:rPr>
      </w:pPr>
      <w:r w:rsidRPr="006D1D27">
        <w:rPr>
          <w:rFonts w:eastAsia="Times New Roman" w:cs="Times New Roman"/>
          <w:b/>
          <w:lang w:val="en-GB"/>
        </w:rPr>
        <w:t>Is there merit in providing legal protection to an expression of apology as set out in the Bill?</w:t>
      </w:r>
    </w:p>
    <w:p w14:paraId="7E3E5E4A" w14:textId="77777777" w:rsidR="00E464D7" w:rsidRDefault="00E464D7" w:rsidP="00284A1A">
      <w:pPr>
        <w:jc w:val="both"/>
        <w:rPr>
          <w:rFonts w:eastAsia="Times New Roman" w:cs="Times New Roman"/>
          <w:b/>
          <w:lang w:val="en-GB"/>
        </w:rPr>
      </w:pPr>
    </w:p>
    <w:p w14:paraId="6046E294" w14:textId="6381835D" w:rsidR="001C1AE6" w:rsidRPr="00EE23B8" w:rsidRDefault="00FF254C" w:rsidP="00284A1A">
      <w:pPr>
        <w:jc w:val="both"/>
        <w:rPr>
          <w:rFonts w:eastAsia="Times New Roman" w:cs="Times New Roman"/>
          <w:lang w:val="en-GB"/>
        </w:rPr>
      </w:pPr>
      <w:r>
        <w:rPr>
          <w:rFonts w:eastAsia="Times New Roman" w:cs="Times New Roman"/>
          <w:lang w:val="en-GB"/>
        </w:rPr>
        <w:t xml:space="preserve">7. </w:t>
      </w:r>
      <w:r w:rsidR="001C1AE6" w:rsidRPr="00EE23B8">
        <w:rPr>
          <w:rFonts w:eastAsia="Times New Roman" w:cs="Times New Roman"/>
          <w:lang w:val="en-GB"/>
        </w:rPr>
        <w:t xml:space="preserve">The Faculty </w:t>
      </w:r>
      <w:r w:rsidR="00CA5231">
        <w:rPr>
          <w:rFonts w:eastAsia="Times New Roman" w:cs="Times New Roman"/>
          <w:lang w:val="en-GB"/>
        </w:rPr>
        <w:t>notes that</w:t>
      </w:r>
      <w:r w:rsidR="001C1AE6" w:rsidRPr="00EE23B8">
        <w:rPr>
          <w:rFonts w:eastAsia="Times New Roman" w:cs="Times New Roman"/>
          <w:lang w:val="en-GB"/>
        </w:rPr>
        <w:t xml:space="preserve"> the definition of apology in section 3 of the Bill</w:t>
      </w:r>
      <w:r w:rsidR="00CA5231">
        <w:rPr>
          <w:rFonts w:eastAsia="Times New Roman" w:cs="Times New Roman"/>
          <w:lang w:val="en-GB"/>
        </w:rPr>
        <w:t xml:space="preserve"> extends to an apology “which contains -</w:t>
      </w:r>
    </w:p>
    <w:p w14:paraId="6B49C0F8" w14:textId="32947825" w:rsidR="001C1AE6" w:rsidRPr="00EE23B8" w:rsidRDefault="001C1AE6" w:rsidP="00284A1A">
      <w:pPr>
        <w:jc w:val="both"/>
        <w:rPr>
          <w:rFonts w:eastAsia="Times New Roman" w:cs="Times New Roman"/>
          <w:lang w:val="en-GB"/>
        </w:rPr>
      </w:pPr>
      <w:r w:rsidRPr="00EE23B8">
        <w:rPr>
          <w:rFonts w:eastAsia="Times New Roman" w:cs="Times New Roman"/>
          <w:lang w:val="en-GB"/>
        </w:rPr>
        <w:t>(a) an express or implied admission of fault in relation to the act, omission or outcome,</w:t>
      </w:r>
    </w:p>
    <w:p w14:paraId="6642A68D" w14:textId="06D4A5FF" w:rsidR="001C1AE6" w:rsidRDefault="00CA5231" w:rsidP="00284A1A">
      <w:pPr>
        <w:jc w:val="both"/>
        <w:rPr>
          <w:rFonts w:eastAsia="Times New Roman" w:cs="Times New Roman"/>
          <w:b/>
          <w:lang w:val="en-GB"/>
        </w:rPr>
      </w:pPr>
      <w:r w:rsidRPr="00CA5231">
        <w:rPr>
          <w:rFonts w:eastAsia="Times New Roman" w:cs="Times New Roman"/>
          <w:lang w:val="en-GB"/>
        </w:rPr>
        <w:t xml:space="preserve"> </w:t>
      </w:r>
      <w:r w:rsidR="001C1AE6" w:rsidRPr="00EE23B8">
        <w:rPr>
          <w:rFonts w:eastAsia="Times New Roman" w:cs="Times New Roman"/>
          <w:lang w:val="en-GB"/>
        </w:rPr>
        <w:t>(b) a statement of fact in relation to the act, omission or outcome …”</w:t>
      </w:r>
    </w:p>
    <w:p w14:paraId="1A6F1F5C" w14:textId="25FC659C" w:rsidR="001C1AE6" w:rsidRDefault="001C1AE6" w:rsidP="00284A1A">
      <w:pPr>
        <w:jc w:val="both"/>
        <w:rPr>
          <w:rFonts w:eastAsia="Times New Roman" w:cs="Times New Roman"/>
          <w:b/>
          <w:lang w:val="en-GB"/>
        </w:rPr>
      </w:pPr>
      <w:r>
        <w:rPr>
          <w:rFonts w:eastAsia="Times New Roman" w:cs="Times New Roman"/>
          <w:b/>
          <w:lang w:val="en-GB"/>
        </w:rPr>
        <w:t xml:space="preserve"> </w:t>
      </w:r>
    </w:p>
    <w:p w14:paraId="5AE7F506" w14:textId="7A996CFC" w:rsidR="00E23C9B" w:rsidRDefault="00FF254C" w:rsidP="00284A1A">
      <w:pPr>
        <w:jc w:val="both"/>
        <w:rPr>
          <w:rFonts w:eastAsia="Times New Roman" w:cs="Times New Roman"/>
        </w:rPr>
      </w:pPr>
      <w:r>
        <w:rPr>
          <w:rFonts w:eastAsia="Times New Roman" w:cs="Times New Roman"/>
        </w:rPr>
        <w:t xml:space="preserve">8. </w:t>
      </w:r>
      <w:r w:rsidR="00CA5231">
        <w:rPr>
          <w:rFonts w:eastAsia="Times New Roman" w:cs="Times New Roman"/>
        </w:rPr>
        <w:t xml:space="preserve">In </w:t>
      </w:r>
      <w:r w:rsidR="00E23C9B">
        <w:rPr>
          <w:rFonts w:eastAsia="Times New Roman" w:cs="Times New Roman"/>
        </w:rPr>
        <w:t xml:space="preserve">the documents supporting the Bill </w:t>
      </w:r>
      <w:r w:rsidR="00CA5231">
        <w:rPr>
          <w:rFonts w:eastAsia="Times New Roman" w:cs="Times New Roman"/>
        </w:rPr>
        <w:t xml:space="preserve">the paradigm example used </w:t>
      </w:r>
      <w:r w:rsidR="00E23C9B">
        <w:rPr>
          <w:rFonts w:eastAsia="Times New Roman" w:cs="Times New Roman"/>
        </w:rPr>
        <w:t xml:space="preserve">is an action of damages arising from personal injuries. The Faculty </w:t>
      </w:r>
      <w:r w:rsidR="00CA5231">
        <w:rPr>
          <w:rFonts w:eastAsia="Times New Roman" w:cs="Times New Roman"/>
        </w:rPr>
        <w:t xml:space="preserve">suggests that if </w:t>
      </w:r>
      <w:r w:rsidR="00E23C9B">
        <w:rPr>
          <w:rFonts w:eastAsia="Times New Roman" w:cs="Times New Roman"/>
        </w:rPr>
        <w:t xml:space="preserve">the matters set out in section 3(a) and (b) </w:t>
      </w:r>
      <w:r w:rsidR="00CA5231">
        <w:rPr>
          <w:rFonts w:eastAsia="Times New Roman" w:cs="Times New Roman"/>
        </w:rPr>
        <w:t xml:space="preserve">are to remain </w:t>
      </w:r>
      <w:r w:rsidR="00E23C9B">
        <w:rPr>
          <w:rFonts w:eastAsia="Times New Roman" w:cs="Times New Roman"/>
        </w:rPr>
        <w:t xml:space="preserve">within the definition of apology </w:t>
      </w:r>
      <w:r w:rsidR="00CA5231">
        <w:rPr>
          <w:rFonts w:eastAsia="Times New Roman" w:cs="Times New Roman"/>
        </w:rPr>
        <w:t>then</w:t>
      </w:r>
      <w:r w:rsidR="00E23C9B">
        <w:rPr>
          <w:rFonts w:eastAsia="Times New Roman" w:cs="Times New Roman"/>
        </w:rPr>
        <w:t xml:space="preserve"> it might be better to restrict the scope of any legislation to personal injuries actions, for the reasons discussed below.</w:t>
      </w:r>
    </w:p>
    <w:p w14:paraId="1FEF5C8D" w14:textId="77777777" w:rsidR="00B52576" w:rsidRDefault="00B52576" w:rsidP="00284A1A">
      <w:pPr>
        <w:jc w:val="both"/>
        <w:rPr>
          <w:rFonts w:eastAsia="Times New Roman" w:cs="Times New Roman"/>
        </w:rPr>
      </w:pPr>
    </w:p>
    <w:p w14:paraId="620CCDE7" w14:textId="6AF6F675" w:rsidR="00B52576" w:rsidRDefault="00FF254C" w:rsidP="00284A1A">
      <w:pPr>
        <w:jc w:val="both"/>
        <w:rPr>
          <w:rFonts w:eastAsia="Times New Roman" w:cs="Times New Roman"/>
        </w:rPr>
      </w:pPr>
      <w:r>
        <w:rPr>
          <w:rFonts w:eastAsia="Times New Roman" w:cs="Times New Roman"/>
        </w:rPr>
        <w:t xml:space="preserve">9. </w:t>
      </w:r>
      <w:r w:rsidR="00B52576">
        <w:rPr>
          <w:rFonts w:eastAsia="Times New Roman" w:cs="Times New Roman"/>
        </w:rPr>
        <w:t>E</w:t>
      </w:r>
      <w:r w:rsidR="00CA5231">
        <w:rPr>
          <w:rFonts w:eastAsia="Times New Roman" w:cs="Times New Roman"/>
        </w:rPr>
        <w:t xml:space="preserve">ven in the personal injuries paradigm </w:t>
      </w:r>
      <w:r w:rsidR="00B52576">
        <w:rPr>
          <w:rFonts w:eastAsia="Times New Roman" w:cs="Times New Roman"/>
        </w:rPr>
        <w:t>there is the potential for conflict between the Bill and</w:t>
      </w:r>
      <w:r w:rsidR="00CA5231">
        <w:rPr>
          <w:rFonts w:eastAsia="Times New Roman" w:cs="Times New Roman"/>
        </w:rPr>
        <w:t xml:space="preserve"> existing measures seeking to </w:t>
      </w:r>
      <w:r w:rsidR="00B52576">
        <w:rPr>
          <w:rFonts w:eastAsia="Times New Roman" w:cs="Times New Roman"/>
        </w:rPr>
        <w:t>simplify and expedite proceedings. P</w:t>
      </w:r>
      <w:r w:rsidR="00CA5231">
        <w:rPr>
          <w:rFonts w:eastAsia="Times New Roman" w:cs="Times New Roman"/>
        </w:rPr>
        <w:t xml:space="preserve">re-action protocols in personal injuries cases usually seek to clarify from the outset whether fault is in issue and, to this end, encourage early and frank exchange of factual information. In Scotland pre-action protocols covering personal injury claims and industrial disease claims, provide for admissions of liability to be binding. [ </w:t>
      </w:r>
      <w:hyperlink r:id="rId9" w:history="1">
        <w:r w:rsidR="00CA5231" w:rsidRPr="00195AD9">
          <w:rPr>
            <w:rStyle w:val="Hyperlink"/>
            <w:rFonts w:eastAsia="Times New Roman" w:cs="Times New Roman"/>
          </w:rPr>
          <w:t>http://www.lawscot.org.uk/rules-and-guidance/section-f-guidance-relating-to-particular-types-of-work/division-d-</w:t>
        </w:r>
        <w:r w:rsidR="00CA5231" w:rsidRPr="00195AD9">
          <w:rPr>
            <w:rStyle w:val="Hyperlink"/>
            <w:rFonts w:eastAsia="Times New Roman" w:cs="Times New Roman"/>
          </w:rPr>
          <w:lastRenderedPageBreak/>
          <w:t>court-work/advice-and-information/pre-action-protocol-in-personal-injury-cases/</w:t>
        </w:r>
      </w:hyperlink>
      <w:r w:rsidR="00CA5231">
        <w:rPr>
          <w:rFonts w:eastAsia="Times New Roman" w:cs="Times New Roman"/>
        </w:rPr>
        <w:t xml:space="preserve"> ] Where an unequivocal admission of fault has been made the Bill, if passed, would seem to prevent a party from founding upon the admission.  The result </w:t>
      </w:r>
      <w:r w:rsidR="00B52576">
        <w:rPr>
          <w:rFonts w:eastAsia="Times New Roman" w:cs="Times New Roman"/>
        </w:rPr>
        <w:t xml:space="preserve">might be individual injustice. More generally </w:t>
      </w:r>
      <w:r w:rsidR="00B77B2D">
        <w:rPr>
          <w:rFonts w:eastAsia="Times New Roman" w:cs="Times New Roman"/>
        </w:rPr>
        <w:t xml:space="preserve">attempts to encourage </w:t>
      </w:r>
      <w:r w:rsidR="00B52576">
        <w:rPr>
          <w:rFonts w:eastAsia="Times New Roman" w:cs="Times New Roman"/>
        </w:rPr>
        <w:t>t</w:t>
      </w:r>
      <w:r w:rsidR="00CA5231">
        <w:rPr>
          <w:rFonts w:eastAsia="Times New Roman" w:cs="Times New Roman"/>
        </w:rPr>
        <w:t>he adoption of pre-action protocols might be undermined.</w:t>
      </w:r>
      <w:r w:rsidR="00B52576">
        <w:rPr>
          <w:rFonts w:eastAsia="Times New Roman" w:cs="Times New Roman"/>
        </w:rPr>
        <w:t xml:space="preserve"> Any negative impact upon the effective use of existing personal injury pre-action protocols would in our view be </w:t>
      </w:r>
      <w:r w:rsidR="00B77B2D">
        <w:rPr>
          <w:rFonts w:eastAsia="Times New Roman" w:cs="Times New Roman"/>
        </w:rPr>
        <w:t>counter-productive</w:t>
      </w:r>
      <w:r w:rsidR="00B52576">
        <w:rPr>
          <w:rFonts w:eastAsia="Times New Roman" w:cs="Times New Roman"/>
        </w:rPr>
        <w:t>.</w:t>
      </w:r>
    </w:p>
    <w:p w14:paraId="127EB423" w14:textId="775DBC46" w:rsidR="00CA5231" w:rsidRDefault="00CA5231" w:rsidP="00284A1A">
      <w:pPr>
        <w:jc w:val="both"/>
        <w:rPr>
          <w:rFonts w:eastAsia="Times New Roman" w:cs="Times New Roman"/>
        </w:rPr>
      </w:pPr>
    </w:p>
    <w:p w14:paraId="4624F2AD" w14:textId="77777777" w:rsidR="00CA5231" w:rsidRDefault="00CA5231" w:rsidP="00284A1A">
      <w:pPr>
        <w:jc w:val="both"/>
        <w:rPr>
          <w:rFonts w:eastAsia="Times New Roman" w:cs="Times New Roman"/>
        </w:rPr>
      </w:pPr>
    </w:p>
    <w:p w14:paraId="1E0C5A11" w14:textId="77777777" w:rsidR="00E23C9B" w:rsidRDefault="00E23C9B" w:rsidP="00284A1A">
      <w:pPr>
        <w:jc w:val="both"/>
        <w:rPr>
          <w:rFonts w:eastAsia="Times New Roman" w:cs="Times New Roman"/>
          <w:lang w:val="en-GB"/>
        </w:rPr>
      </w:pPr>
    </w:p>
    <w:p w14:paraId="64EA6C9C" w14:textId="58793F5C" w:rsidR="00CA5231" w:rsidRDefault="00FF254C" w:rsidP="00284A1A">
      <w:pPr>
        <w:jc w:val="both"/>
        <w:rPr>
          <w:rFonts w:eastAsia="Times New Roman" w:cs="Times New Roman"/>
        </w:rPr>
      </w:pPr>
      <w:r>
        <w:rPr>
          <w:rFonts w:eastAsia="Times New Roman" w:cs="Times New Roman"/>
          <w:lang w:val="en-GB"/>
        </w:rPr>
        <w:t xml:space="preserve">10. </w:t>
      </w:r>
      <w:r w:rsidR="00B52576">
        <w:rPr>
          <w:rFonts w:eastAsia="Times New Roman" w:cs="Times New Roman"/>
        </w:rPr>
        <w:t>More generally t</w:t>
      </w:r>
      <w:r w:rsidR="001C1AE6">
        <w:rPr>
          <w:rFonts w:eastAsia="Times New Roman" w:cs="Times New Roman"/>
        </w:rPr>
        <w:t>he</w:t>
      </w:r>
      <w:r w:rsidR="00E464D7">
        <w:rPr>
          <w:rFonts w:eastAsia="Times New Roman" w:cs="Times New Roman"/>
        </w:rPr>
        <w:t xml:space="preserve"> </w:t>
      </w:r>
      <w:r w:rsidR="00B52576">
        <w:rPr>
          <w:rFonts w:eastAsia="Times New Roman" w:cs="Times New Roman"/>
        </w:rPr>
        <w:t>Faculty is concerned that section 3(a)</w:t>
      </w:r>
      <w:r w:rsidR="00E464D7">
        <w:rPr>
          <w:rFonts w:eastAsia="Times New Roman" w:cs="Times New Roman"/>
        </w:rPr>
        <w:t xml:space="preserve"> would render inadmissible in evidence an apology that also incorporates an admission of fault. We note that an identical admission of fault would be </w:t>
      </w:r>
      <w:r w:rsidR="00A44004">
        <w:rPr>
          <w:rFonts w:eastAsia="Times New Roman" w:cs="Times New Roman"/>
        </w:rPr>
        <w:t xml:space="preserve">admissible or not </w:t>
      </w:r>
      <w:r w:rsidR="00E464D7">
        <w:rPr>
          <w:rFonts w:eastAsia="Times New Roman" w:cs="Times New Roman"/>
        </w:rPr>
        <w:t>depending upon wheth</w:t>
      </w:r>
      <w:r w:rsidR="007B2A6A">
        <w:rPr>
          <w:rFonts w:eastAsia="Times New Roman" w:cs="Times New Roman"/>
        </w:rPr>
        <w:t xml:space="preserve">er </w:t>
      </w:r>
      <w:r w:rsidR="00A44004">
        <w:rPr>
          <w:rFonts w:eastAsia="Times New Roman" w:cs="Times New Roman"/>
        </w:rPr>
        <w:t>it</w:t>
      </w:r>
      <w:r w:rsidR="007B2A6A">
        <w:rPr>
          <w:rFonts w:eastAsia="Times New Roman" w:cs="Times New Roman"/>
        </w:rPr>
        <w:t xml:space="preserve"> include</w:t>
      </w:r>
      <w:r w:rsidR="00A44004">
        <w:rPr>
          <w:rFonts w:eastAsia="Times New Roman" w:cs="Times New Roman"/>
        </w:rPr>
        <w:t>d</w:t>
      </w:r>
      <w:r w:rsidR="00E464D7">
        <w:rPr>
          <w:rFonts w:eastAsia="Times New Roman" w:cs="Times New Roman"/>
        </w:rPr>
        <w:t xml:space="preserve"> an apology. We would regard such a consequence as unfortunate.</w:t>
      </w:r>
      <w:r w:rsidR="00B52576">
        <w:rPr>
          <w:rFonts w:eastAsia="Times New Roman" w:cs="Times New Roman"/>
        </w:rPr>
        <w:t xml:space="preserve"> It appears arbitrary.</w:t>
      </w:r>
      <w:r w:rsidR="00E464D7">
        <w:rPr>
          <w:rFonts w:eastAsia="Times New Roman" w:cs="Times New Roman"/>
        </w:rPr>
        <w:t xml:space="preserve"> Whether or not an </w:t>
      </w:r>
      <w:r w:rsidR="00E23C9B">
        <w:rPr>
          <w:rFonts w:eastAsia="Times New Roman" w:cs="Times New Roman"/>
        </w:rPr>
        <w:t xml:space="preserve">extra-judicial </w:t>
      </w:r>
      <w:r w:rsidR="00E464D7">
        <w:rPr>
          <w:rFonts w:eastAsia="Times New Roman" w:cs="Times New Roman"/>
        </w:rPr>
        <w:t xml:space="preserve">admission of fault is binding is normally a matter of intent: </w:t>
      </w:r>
      <w:r w:rsidR="00E464D7" w:rsidRPr="006058BF">
        <w:rPr>
          <w:rFonts w:eastAsia="Times New Roman" w:cs="Times New Roman"/>
          <w:i/>
        </w:rPr>
        <w:t>Van Klaveren v Servisair UK Ltd</w:t>
      </w:r>
      <w:r w:rsidR="00E464D7">
        <w:rPr>
          <w:rFonts w:eastAsia="Times New Roman" w:cs="Times New Roman"/>
        </w:rPr>
        <w:t xml:space="preserve"> 2009 SLT 576 [   </w:t>
      </w:r>
      <w:hyperlink r:id="rId10" w:history="1">
        <w:r w:rsidR="00E464D7" w:rsidRPr="00555582">
          <w:rPr>
            <w:rStyle w:val="Hyperlink"/>
            <w:rFonts w:eastAsia="Times New Roman" w:cs="Times New Roman"/>
          </w:rPr>
          <w:t>http://www.scotcourts.gov.uk/search-judgments/judgment?id=a23386a6-8980-69d2-b500-ff0000d74aa7</w:t>
        </w:r>
      </w:hyperlink>
      <w:r w:rsidR="00E464D7">
        <w:rPr>
          <w:rFonts w:eastAsia="Times New Roman" w:cs="Times New Roman"/>
        </w:rPr>
        <w:t xml:space="preserve"> ]</w:t>
      </w:r>
    </w:p>
    <w:p w14:paraId="3DE640C4" w14:textId="77777777" w:rsidR="00CA5231" w:rsidRDefault="00CA5231" w:rsidP="00284A1A">
      <w:pPr>
        <w:jc w:val="both"/>
        <w:rPr>
          <w:rFonts w:eastAsia="Times New Roman" w:cs="Times New Roman"/>
        </w:rPr>
      </w:pPr>
    </w:p>
    <w:p w14:paraId="39B42D80" w14:textId="0560AAF9" w:rsidR="00EB0DB9" w:rsidRDefault="00FF254C" w:rsidP="00284A1A">
      <w:pPr>
        <w:jc w:val="both"/>
        <w:rPr>
          <w:rFonts w:eastAsia="Times New Roman" w:cs="Times New Roman"/>
        </w:rPr>
      </w:pPr>
      <w:r>
        <w:rPr>
          <w:rFonts w:eastAsia="Times New Roman" w:cs="Times New Roman"/>
        </w:rPr>
        <w:t xml:space="preserve">11. </w:t>
      </w:r>
      <w:r w:rsidR="00CA5231">
        <w:rPr>
          <w:rFonts w:eastAsia="Times New Roman" w:cs="Times New Roman"/>
        </w:rPr>
        <w:t xml:space="preserve">A similar point arises in connection with </w:t>
      </w:r>
      <w:r w:rsidR="00B52576">
        <w:rPr>
          <w:rFonts w:eastAsia="Times New Roman" w:cs="Times New Roman"/>
        </w:rPr>
        <w:t xml:space="preserve">section 3(b) and </w:t>
      </w:r>
      <w:r w:rsidR="00CA5231">
        <w:rPr>
          <w:rFonts w:eastAsia="Times New Roman" w:cs="Times New Roman"/>
        </w:rPr>
        <w:t>extra-judicial admissions of fact: why should these be rendered inadmissible because they are conjoined with an apology?</w:t>
      </w:r>
      <w:r w:rsidR="00E464D7">
        <w:rPr>
          <w:rFonts w:eastAsia="Times New Roman" w:cs="Times New Roman"/>
        </w:rPr>
        <w:t xml:space="preserve"> </w:t>
      </w:r>
    </w:p>
    <w:p w14:paraId="504261A3" w14:textId="77777777" w:rsidR="00EB0DB9" w:rsidRDefault="00EB0DB9" w:rsidP="00284A1A">
      <w:pPr>
        <w:jc w:val="both"/>
        <w:rPr>
          <w:rFonts w:eastAsia="Times New Roman" w:cs="Times New Roman"/>
        </w:rPr>
      </w:pPr>
    </w:p>
    <w:p w14:paraId="323075FA" w14:textId="66CF70A4" w:rsidR="00A2759A" w:rsidRPr="003D39AF" w:rsidRDefault="00FF254C" w:rsidP="00284A1A">
      <w:pPr>
        <w:jc w:val="both"/>
        <w:rPr>
          <w:rFonts w:eastAsia="Times New Roman" w:cs="Times New Roman"/>
        </w:rPr>
      </w:pPr>
      <w:r>
        <w:rPr>
          <w:rFonts w:eastAsia="Times New Roman" w:cs="Times New Roman"/>
        </w:rPr>
        <w:t xml:space="preserve">12. </w:t>
      </w:r>
      <w:r w:rsidR="003D39AF">
        <w:rPr>
          <w:rFonts w:eastAsia="Times New Roman" w:cs="Times New Roman"/>
        </w:rPr>
        <w:t xml:space="preserve">In its response to the consultation document issued on 29 June 2012, the Faculty expressed doubt that apologies falling short of an admission of liability had any real impact upon the outcome of civil litigation. Reference was made to the case of Bryson v BT Rolatruc Ltd as an example of </w:t>
      </w:r>
      <w:r w:rsidR="00A2759A">
        <w:rPr>
          <w:rFonts w:eastAsia="Times New Roman" w:cs="Times New Roman"/>
        </w:rPr>
        <w:t>an apology being admitted as evidence.</w:t>
      </w:r>
      <w:r w:rsidR="00B77B2D">
        <w:rPr>
          <w:rFonts w:eastAsia="Times New Roman" w:cs="Times New Roman"/>
        </w:rPr>
        <w:t xml:space="preserve"> The evidence in the case included an alleged </w:t>
      </w:r>
      <w:r w:rsidR="00193678">
        <w:rPr>
          <w:rFonts w:eastAsia="Times New Roman" w:cs="Times New Roman"/>
        </w:rPr>
        <w:t xml:space="preserve">verbal </w:t>
      </w:r>
      <w:r w:rsidR="00B77B2D">
        <w:rPr>
          <w:rFonts w:eastAsia="Times New Roman" w:cs="Times New Roman"/>
        </w:rPr>
        <w:t xml:space="preserve">apology given spontaneously by a fork lift truck driver in the immediate aftermath of an accident. </w:t>
      </w:r>
      <w:r w:rsidR="00A2759A">
        <w:rPr>
          <w:rFonts w:eastAsia="Times New Roman" w:cs="Times New Roman"/>
        </w:rPr>
        <w:t xml:space="preserve"> </w:t>
      </w:r>
      <w:r w:rsidR="00B77B2D">
        <w:rPr>
          <w:rFonts w:eastAsia="Times New Roman" w:cs="Times New Roman"/>
        </w:rPr>
        <w:t>T</w:t>
      </w:r>
      <w:r w:rsidR="00A2759A">
        <w:rPr>
          <w:rFonts w:eastAsia="Times New Roman" w:cs="Times New Roman"/>
        </w:rPr>
        <w:t xml:space="preserve">he making </w:t>
      </w:r>
      <w:r w:rsidR="00B17EAF">
        <w:rPr>
          <w:rFonts w:eastAsia="Times New Roman" w:cs="Times New Roman"/>
        </w:rPr>
        <w:t xml:space="preserve">or withholding </w:t>
      </w:r>
      <w:r w:rsidR="00A2759A">
        <w:rPr>
          <w:rFonts w:eastAsia="Times New Roman" w:cs="Times New Roman"/>
        </w:rPr>
        <w:t>of a</w:t>
      </w:r>
      <w:r w:rsidR="00B17EAF">
        <w:rPr>
          <w:rFonts w:eastAsia="Times New Roman" w:cs="Times New Roman"/>
        </w:rPr>
        <w:t xml:space="preserve"> spontaneous</w:t>
      </w:r>
      <w:r w:rsidR="00A2759A">
        <w:rPr>
          <w:rFonts w:eastAsia="Times New Roman" w:cs="Times New Roman"/>
        </w:rPr>
        <w:t xml:space="preserve"> apology of that sort, which m</w:t>
      </w:r>
      <w:r w:rsidR="00B17EAF">
        <w:rPr>
          <w:rFonts w:eastAsia="Times New Roman" w:cs="Times New Roman"/>
        </w:rPr>
        <w:t>ight</w:t>
      </w:r>
      <w:r w:rsidR="00A2759A">
        <w:rPr>
          <w:rFonts w:eastAsia="Times New Roman" w:cs="Times New Roman"/>
        </w:rPr>
        <w:t xml:space="preserve"> be said to be part of the event itself, or “de recenti”,</w:t>
      </w:r>
      <w:r w:rsidR="001B1475">
        <w:rPr>
          <w:rFonts w:eastAsia="Times New Roman" w:cs="Times New Roman"/>
        </w:rPr>
        <w:t xml:space="preserve"> does</w:t>
      </w:r>
      <w:r w:rsidR="00A2759A">
        <w:rPr>
          <w:rFonts w:eastAsia="Times New Roman" w:cs="Times New Roman"/>
        </w:rPr>
        <w:t xml:space="preserve"> not</w:t>
      </w:r>
      <w:r w:rsidR="001B1475">
        <w:rPr>
          <w:rFonts w:eastAsia="Times New Roman" w:cs="Times New Roman"/>
        </w:rPr>
        <w:t xml:space="preserve"> appear to us to be liable</w:t>
      </w:r>
      <w:r w:rsidR="00B17EAF">
        <w:rPr>
          <w:rFonts w:eastAsia="Times New Roman" w:cs="Times New Roman"/>
        </w:rPr>
        <w:t xml:space="preserve"> to </w:t>
      </w:r>
      <w:r w:rsidR="00A2759A">
        <w:rPr>
          <w:rFonts w:eastAsia="Times New Roman" w:cs="Times New Roman"/>
        </w:rPr>
        <w:t>influence by the legal protection</w:t>
      </w:r>
      <w:r w:rsidR="001B1475">
        <w:rPr>
          <w:rFonts w:eastAsia="Times New Roman" w:cs="Times New Roman"/>
        </w:rPr>
        <w:t xml:space="preserve"> created by the Bill</w:t>
      </w:r>
      <w:r w:rsidR="00A2759A">
        <w:rPr>
          <w:rFonts w:eastAsia="Times New Roman" w:cs="Times New Roman"/>
        </w:rPr>
        <w:t>.</w:t>
      </w:r>
      <w:r w:rsidR="00B77B2D">
        <w:rPr>
          <w:rFonts w:eastAsia="Times New Roman" w:cs="Times New Roman"/>
        </w:rPr>
        <w:t xml:space="preserve"> T</w:t>
      </w:r>
      <w:r w:rsidR="00D3182D">
        <w:rPr>
          <w:rFonts w:eastAsia="Times New Roman" w:cs="Times New Roman"/>
        </w:rPr>
        <w:t>he admissibility</w:t>
      </w:r>
      <w:r w:rsidR="00B77B2D">
        <w:rPr>
          <w:rFonts w:eastAsia="Times New Roman" w:cs="Times New Roman"/>
        </w:rPr>
        <w:t xml:space="preserve"> in legal proceedings</w:t>
      </w:r>
      <w:r w:rsidR="00D3182D">
        <w:rPr>
          <w:rFonts w:eastAsia="Times New Roman" w:cs="Times New Roman"/>
        </w:rPr>
        <w:t xml:space="preserve"> of such apologies is unlikely to encourage or discourage spontaneous apology</w:t>
      </w:r>
      <w:r>
        <w:rPr>
          <w:rFonts w:eastAsia="Times New Roman" w:cs="Times New Roman"/>
        </w:rPr>
        <w:t xml:space="preserve"> at or shortly after an adverse event</w:t>
      </w:r>
      <w:r w:rsidR="00D3182D">
        <w:rPr>
          <w:rFonts w:eastAsia="Times New Roman" w:cs="Times New Roman"/>
        </w:rPr>
        <w:t>.</w:t>
      </w:r>
      <w:r w:rsidR="00B77B2D">
        <w:rPr>
          <w:rFonts w:eastAsia="Times New Roman" w:cs="Times New Roman"/>
        </w:rPr>
        <w:t xml:space="preserve"> </w:t>
      </w:r>
      <w:r w:rsidR="001B1475">
        <w:rPr>
          <w:rFonts w:eastAsia="Times New Roman" w:cs="Times New Roman"/>
        </w:rPr>
        <w:t xml:space="preserve"> </w:t>
      </w:r>
      <w:r w:rsidR="00E23C9B">
        <w:rPr>
          <w:rFonts w:eastAsia="Times New Roman" w:cs="Times New Roman"/>
        </w:rPr>
        <w:t>I</w:t>
      </w:r>
      <w:r w:rsidR="00A2759A">
        <w:rPr>
          <w:rFonts w:eastAsia="Times New Roman" w:cs="Times New Roman"/>
        </w:rPr>
        <w:t xml:space="preserve">f the Bill </w:t>
      </w:r>
      <w:r>
        <w:rPr>
          <w:rFonts w:eastAsia="Times New Roman" w:cs="Times New Roman"/>
        </w:rPr>
        <w:t xml:space="preserve">is </w:t>
      </w:r>
      <w:r w:rsidR="00A2759A">
        <w:rPr>
          <w:rFonts w:eastAsia="Times New Roman" w:cs="Times New Roman"/>
        </w:rPr>
        <w:t>passed</w:t>
      </w:r>
      <w:r w:rsidR="001B1475">
        <w:rPr>
          <w:rFonts w:eastAsia="Times New Roman" w:cs="Times New Roman"/>
        </w:rPr>
        <w:t xml:space="preserve"> </w:t>
      </w:r>
      <w:r w:rsidR="00A2759A">
        <w:rPr>
          <w:rFonts w:eastAsia="Times New Roman" w:cs="Times New Roman"/>
        </w:rPr>
        <w:t xml:space="preserve">as presently worded, the injured </w:t>
      </w:r>
      <w:r w:rsidR="00D3182D">
        <w:rPr>
          <w:rFonts w:eastAsia="Times New Roman" w:cs="Times New Roman"/>
        </w:rPr>
        <w:t xml:space="preserve">recipient of a de recenti apology </w:t>
      </w:r>
      <w:r w:rsidR="00A2759A">
        <w:rPr>
          <w:rFonts w:eastAsia="Times New Roman" w:cs="Times New Roman"/>
        </w:rPr>
        <w:t xml:space="preserve">would be </w:t>
      </w:r>
      <w:r w:rsidR="001B1475">
        <w:rPr>
          <w:rFonts w:eastAsia="Times New Roman" w:cs="Times New Roman"/>
        </w:rPr>
        <w:t>unable</w:t>
      </w:r>
      <w:r w:rsidR="00A2759A">
        <w:rPr>
          <w:rFonts w:eastAsia="Times New Roman" w:cs="Times New Roman"/>
        </w:rPr>
        <w:t xml:space="preserve"> to </w:t>
      </w:r>
      <w:r w:rsidR="00D3182D">
        <w:rPr>
          <w:rFonts w:eastAsia="Times New Roman" w:cs="Times New Roman"/>
        </w:rPr>
        <w:t>rely upon it in legal proceedings.</w:t>
      </w:r>
      <w:r w:rsidR="00A2759A">
        <w:rPr>
          <w:rFonts w:eastAsia="Times New Roman" w:cs="Times New Roman"/>
        </w:rPr>
        <w:t xml:space="preserve"> That would be, in </w:t>
      </w:r>
      <w:r w:rsidR="00D3182D">
        <w:rPr>
          <w:rFonts w:eastAsia="Times New Roman" w:cs="Times New Roman"/>
        </w:rPr>
        <w:t xml:space="preserve">our </w:t>
      </w:r>
      <w:r w:rsidR="00A2759A">
        <w:rPr>
          <w:rFonts w:eastAsia="Times New Roman" w:cs="Times New Roman"/>
        </w:rPr>
        <w:t xml:space="preserve">view, </w:t>
      </w:r>
      <w:r w:rsidR="001B1475">
        <w:rPr>
          <w:rFonts w:eastAsia="Times New Roman" w:cs="Times New Roman"/>
        </w:rPr>
        <w:t>an</w:t>
      </w:r>
      <w:r w:rsidR="00A2759A">
        <w:rPr>
          <w:rFonts w:eastAsia="Times New Roman" w:cs="Times New Roman"/>
        </w:rPr>
        <w:t xml:space="preserve"> unwelcome outcome.</w:t>
      </w:r>
      <w:r w:rsidR="00D3182D">
        <w:rPr>
          <w:rFonts w:eastAsia="Times New Roman" w:cs="Times New Roman"/>
        </w:rPr>
        <w:t xml:space="preserve"> We suggest that consideration is given to excluding de recenti apologies from the scope of any protection provided by legislation.</w:t>
      </w:r>
    </w:p>
    <w:p w14:paraId="082ACF1E" w14:textId="77777777" w:rsidR="00F737FC" w:rsidRDefault="00F737FC" w:rsidP="00284A1A">
      <w:pPr>
        <w:jc w:val="both"/>
        <w:rPr>
          <w:rFonts w:eastAsia="Times New Roman" w:cs="Times New Roman"/>
        </w:rPr>
      </w:pPr>
    </w:p>
    <w:p w14:paraId="05EABE13" w14:textId="4D0DC1C4" w:rsidR="006D1D27" w:rsidRPr="006D1D27" w:rsidRDefault="006D1D27" w:rsidP="00284A1A">
      <w:pPr>
        <w:jc w:val="both"/>
        <w:rPr>
          <w:rFonts w:eastAsia="Times New Roman" w:cs="Times New Roman"/>
          <w:b/>
          <w:lang w:val="en-GB"/>
        </w:rPr>
      </w:pPr>
    </w:p>
    <w:p w14:paraId="198A9168" w14:textId="77777777" w:rsidR="006D1D27" w:rsidRDefault="006D1D27" w:rsidP="00284A1A">
      <w:pPr>
        <w:jc w:val="both"/>
        <w:rPr>
          <w:rFonts w:eastAsia="Times New Roman" w:cs="Times New Roman"/>
          <w:b/>
          <w:lang w:val="en-GB"/>
        </w:rPr>
      </w:pPr>
      <w:r w:rsidRPr="006D1D27">
        <w:rPr>
          <w:rFonts w:eastAsia="Times New Roman" w:cs="Times New Roman"/>
          <w:b/>
          <w:lang w:val="en-GB"/>
        </w:rPr>
        <w:t xml:space="preserve">Do you agree with the legal proceedings covered under section 2 of the Bill, and the exceptions for fatal accident inquiries and defamation proceedings? </w:t>
      </w:r>
    </w:p>
    <w:p w14:paraId="73F90697" w14:textId="77777777" w:rsidR="00067978" w:rsidRDefault="00067978" w:rsidP="00284A1A">
      <w:pPr>
        <w:jc w:val="both"/>
        <w:rPr>
          <w:rFonts w:eastAsia="Times New Roman" w:cs="Times New Roman"/>
          <w:b/>
          <w:lang w:val="en-GB"/>
        </w:rPr>
      </w:pPr>
    </w:p>
    <w:p w14:paraId="73B89295" w14:textId="0BD4D47D" w:rsidR="001C1AE6" w:rsidRDefault="00FF254C" w:rsidP="00284A1A">
      <w:pPr>
        <w:jc w:val="both"/>
        <w:rPr>
          <w:rFonts w:cs="Calibri"/>
        </w:rPr>
      </w:pPr>
      <w:r>
        <w:rPr>
          <w:rFonts w:cs="Calibri"/>
        </w:rPr>
        <w:t xml:space="preserve">13. </w:t>
      </w:r>
      <w:r w:rsidR="001C1AE6" w:rsidRPr="00EE23B8">
        <w:rPr>
          <w:rFonts w:cs="Calibri"/>
        </w:rPr>
        <w:t xml:space="preserve">As drafted, the Bill </w:t>
      </w:r>
      <w:r w:rsidR="001C1AE6">
        <w:rPr>
          <w:rFonts w:cs="Calibri"/>
        </w:rPr>
        <w:t>will</w:t>
      </w:r>
      <w:r w:rsidR="001C1AE6" w:rsidRPr="00EE23B8">
        <w:rPr>
          <w:rFonts w:cs="Calibri"/>
        </w:rPr>
        <w:t xml:space="preserve"> apply t</w:t>
      </w:r>
      <w:r w:rsidR="001C1AE6" w:rsidRPr="001C1AE6">
        <w:rPr>
          <w:rFonts w:cs="Calibri"/>
        </w:rPr>
        <w:t>o all civil proceedings except Fatal Accident I</w:t>
      </w:r>
      <w:r w:rsidR="001C1AE6" w:rsidRPr="00EE23B8">
        <w:rPr>
          <w:rFonts w:cs="Calibri"/>
        </w:rPr>
        <w:t xml:space="preserve">nquiries and defamation </w:t>
      </w:r>
      <w:r w:rsidR="001C1AE6">
        <w:rPr>
          <w:rFonts w:cs="Calibri"/>
        </w:rPr>
        <w:t>actions</w:t>
      </w:r>
      <w:r w:rsidR="001C1AE6" w:rsidRPr="00EE23B8">
        <w:rPr>
          <w:rFonts w:cs="Calibri"/>
        </w:rPr>
        <w:t>.  It is not intended to apply to criminal proceedings.  </w:t>
      </w:r>
    </w:p>
    <w:p w14:paraId="416F67F8" w14:textId="77777777" w:rsidR="001C1AE6" w:rsidRDefault="001C1AE6" w:rsidP="00284A1A">
      <w:pPr>
        <w:jc w:val="both"/>
        <w:rPr>
          <w:rFonts w:cs="Calibri"/>
        </w:rPr>
      </w:pPr>
    </w:p>
    <w:p w14:paraId="69F47CA4" w14:textId="7EE869BE" w:rsidR="001C1AE6" w:rsidRDefault="00FF254C" w:rsidP="00284A1A">
      <w:pPr>
        <w:jc w:val="both"/>
        <w:rPr>
          <w:rFonts w:cs="Calibri"/>
        </w:rPr>
      </w:pPr>
      <w:r>
        <w:rPr>
          <w:rFonts w:cs="Calibri"/>
        </w:rPr>
        <w:lastRenderedPageBreak/>
        <w:t xml:space="preserve">14. </w:t>
      </w:r>
      <w:r w:rsidR="001C1AE6">
        <w:rPr>
          <w:rFonts w:cs="Calibri"/>
        </w:rPr>
        <w:t>The Faculty agrees that Fatal Accident Inquiries and defamation actions should be excluded from the scope of section 2 of the Bill.</w:t>
      </w:r>
    </w:p>
    <w:p w14:paraId="404CCB85" w14:textId="77777777" w:rsidR="001C1AE6" w:rsidRDefault="001C1AE6" w:rsidP="00284A1A">
      <w:pPr>
        <w:jc w:val="both"/>
        <w:rPr>
          <w:rFonts w:cs="Calibri"/>
        </w:rPr>
      </w:pPr>
    </w:p>
    <w:p w14:paraId="1BE26FA7" w14:textId="352D8FEA" w:rsidR="001C1AE6" w:rsidRDefault="00FF254C" w:rsidP="00284A1A">
      <w:pPr>
        <w:jc w:val="both"/>
        <w:rPr>
          <w:rFonts w:cs="Calibri"/>
        </w:rPr>
      </w:pPr>
      <w:r>
        <w:rPr>
          <w:rFonts w:cs="Calibri"/>
        </w:rPr>
        <w:t xml:space="preserve">15. </w:t>
      </w:r>
      <w:r w:rsidR="001C1AE6">
        <w:rPr>
          <w:rFonts w:cs="Calibri"/>
        </w:rPr>
        <w:t>T</w:t>
      </w:r>
      <w:r w:rsidR="001C1AE6" w:rsidRPr="00EE23B8">
        <w:rPr>
          <w:rFonts w:cs="Calibri"/>
        </w:rPr>
        <w:t xml:space="preserve">he documents accompanying the Bill, and the material referred to in those documents, focus primarily </w:t>
      </w:r>
      <w:r w:rsidR="001C1AE6" w:rsidRPr="001C1AE6">
        <w:rPr>
          <w:rFonts w:cs="Calibri"/>
        </w:rPr>
        <w:t>on personal injury actions: in particular</w:t>
      </w:r>
      <w:r w:rsidR="001C1AE6">
        <w:rPr>
          <w:rFonts w:cs="Calibri"/>
        </w:rPr>
        <w:t xml:space="preserve"> on </w:t>
      </w:r>
      <w:r w:rsidR="001C1AE6" w:rsidRPr="00EE23B8">
        <w:rPr>
          <w:rFonts w:cs="Calibri"/>
        </w:rPr>
        <w:t>medical negligence</w:t>
      </w:r>
      <w:r w:rsidR="001C1AE6">
        <w:rPr>
          <w:rFonts w:cs="Calibri"/>
        </w:rPr>
        <w:t xml:space="preserve"> actions</w:t>
      </w:r>
      <w:r w:rsidR="001C1AE6" w:rsidRPr="00EE23B8">
        <w:rPr>
          <w:rFonts w:cs="Calibri"/>
        </w:rPr>
        <w:t>.  </w:t>
      </w:r>
    </w:p>
    <w:p w14:paraId="77CAE050" w14:textId="77777777" w:rsidR="001C1AE6" w:rsidRDefault="001C1AE6" w:rsidP="00284A1A">
      <w:pPr>
        <w:jc w:val="both"/>
        <w:rPr>
          <w:rFonts w:cs="Calibri"/>
        </w:rPr>
      </w:pPr>
    </w:p>
    <w:p w14:paraId="6088CB8F" w14:textId="391FE59F" w:rsidR="001C1AE6" w:rsidRPr="001C1AE6" w:rsidRDefault="00FF254C" w:rsidP="00284A1A">
      <w:pPr>
        <w:jc w:val="both"/>
        <w:rPr>
          <w:rFonts w:eastAsia="Times New Roman" w:cs="Times New Roman"/>
          <w:lang w:val="en-GB"/>
        </w:rPr>
      </w:pPr>
      <w:r>
        <w:rPr>
          <w:rFonts w:cs="Calibri"/>
        </w:rPr>
        <w:t xml:space="preserve">16. </w:t>
      </w:r>
      <w:r w:rsidR="001C1AE6" w:rsidRPr="00EE23B8">
        <w:rPr>
          <w:rFonts w:cs="Calibri"/>
        </w:rPr>
        <w:t xml:space="preserve">For the reasons </w:t>
      </w:r>
      <w:r w:rsidR="001C1AE6">
        <w:rPr>
          <w:rFonts w:cs="Calibri"/>
        </w:rPr>
        <w:t>discussed below</w:t>
      </w:r>
      <w:r w:rsidR="001C1AE6" w:rsidRPr="00EE23B8">
        <w:rPr>
          <w:rFonts w:cs="Calibri"/>
        </w:rPr>
        <w:t xml:space="preserve">, </w:t>
      </w:r>
      <w:r w:rsidR="001C1AE6">
        <w:rPr>
          <w:rFonts w:cs="Calibri"/>
        </w:rPr>
        <w:t>the Faculty</w:t>
      </w:r>
      <w:r w:rsidR="001C1AE6" w:rsidRPr="001C1AE6">
        <w:rPr>
          <w:rFonts w:cs="Calibri"/>
        </w:rPr>
        <w:t xml:space="preserve"> doubts </w:t>
      </w:r>
      <w:r w:rsidR="001C1AE6" w:rsidRPr="00EE23B8">
        <w:rPr>
          <w:rFonts w:cs="Calibri"/>
        </w:rPr>
        <w:t>whether the</w:t>
      </w:r>
      <w:r w:rsidR="001C1AE6">
        <w:rPr>
          <w:rFonts w:cs="Calibri"/>
        </w:rPr>
        <w:t xml:space="preserve"> </w:t>
      </w:r>
      <w:r w:rsidR="001C1AE6" w:rsidRPr="00EE23B8">
        <w:rPr>
          <w:rFonts w:cs="Calibri"/>
        </w:rPr>
        <w:t>exp</w:t>
      </w:r>
      <w:r w:rsidR="001C1AE6" w:rsidRPr="001C1AE6">
        <w:rPr>
          <w:rFonts w:cs="Calibri"/>
        </w:rPr>
        <w:t>erience</w:t>
      </w:r>
      <w:r w:rsidR="001C1AE6" w:rsidRPr="00EE23B8">
        <w:rPr>
          <w:rFonts w:cs="Calibri"/>
        </w:rPr>
        <w:t xml:space="preserve"> in other jurisdictions </w:t>
      </w:r>
      <w:r w:rsidR="001C1AE6">
        <w:rPr>
          <w:rFonts w:cs="Calibri"/>
        </w:rPr>
        <w:t xml:space="preserve">cited by the support documents </w:t>
      </w:r>
      <w:r w:rsidR="001C1AE6" w:rsidRPr="00EE23B8">
        <w:rPr>
          <w:rFonts w:cs="Calibri"/>
        </w:rPr>
        <w:t xml:space="preserve">can be </w:t>
      </w:r>
      <w:r w:rsidR="001C1AE6">
        <w:rPr>
          <w:rFonts w:cs="Calibri"/>
        </w:rPr>
        <w:t>relied upon</w:t>
      </w:r>
      <w:r w:rsidR="001C1AE6" w:rsidRPr="00EE23B8">
        <w:rPr>
          <w:rFonts w:cs="Calibri"/>
        </w:rPr>
        <w:t xml:space="preserve">.  The Faculty is </w:t>
      </w:r>
      <w:r w:rsidR="00D3182D" w:rsidRPr="00D3182D">
        <w:rPr>
          <w:rFonts w:cs="Calibri"/>
        </w:rPr>
        <w:t xml:space="preserve">concerned that the </w:t>
      </w:r>
      <w:r w:rsidR="00BC14C9">
        <w:rPr>
          <w:rFonts w:cs="Calibri"/>
        </w:rPr>
        <w:t xml:space="preserve">evidential focus is </w:t>
      </w:r>
      <w:r>
        <w:rPr>
          <w:rFonts w:cs="Calibri"/>
        </w:rPr>
        <w:t xml:space="preserve">solely </w:t>
      </w:r>
      <w:r w:rsidR="00BC14C9">
        <w:rPr>
          <w:rFonts w:cs="Calibri"/>
        </w:rPr>
        <w:t xml:space="preserve">on personal injury cases and that no </w:t>
      </w:r>
      <w:r w:rsidR="001C1AE6" w:rsidRPr="00EE23B8">
        <w:rPr>
          <w:rFonts w:cs="Calibri"/>
        </w:rPr>
        <w:t xml:space="preserve">evidence </w:t>
      </w:r>
      <w:r>
        <w:rPr>
          <w:rFonts w:cs="Calibri"/>
        </w:rPr>
        <w:t xml:space="preserve">is </w:t>
      </w:r>
      <w:r w:rsidR="00BC14C9">
        <w:rPr>
          <w:rFonts w:cs="Calibri"/>
        </w:rPr>
        <w:t>adduced dealing with</w:t>
      </w:r>
      <w:r w:rsidR="00D3182D" w:rsidRPr="00D3182D">
        <w:rPr>
          <w:rFonts w:cs="Calibri"/>
        </w:rPr>
        <w:t xml:space="preserve"> the </w:t>
      </w:r>
      <w:r w:rsidR="00BC14C9">
        <w:rPr>
          <w:rFonts w:cs="Calibri"/>
        </w:rPr>
        <w:t xml:space="preserve">potential </w:t>
      </w:r>
      <w:r w:rsidR="00D3182D" w:rsidRPr="00D3182D">
        <w:rPr>
          <w:rFonts w:cs="Calibri"/>
        </w:rPr>
        <w:t>impact of the</w:t>
      </w:r>
      <w:r w:rsidR="001C1AE6" w:rsidRPr="00EE23B8">
        <w:rPr>
          <w:rFonts w:cs="Calibri"/>
        </w:rPr>
        <w:t xml:space="preserve"> Bill on oth</w:t>
      </w:r>
      <w:r w:rsidR="00BC14C9">
        <w:rPr>
          <w:rFonts w:cs="Calibri"/>
        </w:rPr>
        <w:t>er areas, e.g.,</w:t>
      </w:r>
      <w:r w:rsidR="00BC14C9" w:rsidRPr="00BC14C9">
        <w:rPr>
          <w:rFonts w:cs="Calibri"/>
        </w:rPr>
        <w:t xml:space="preserve"> family law, </w:t>
      </w:r>
      <w:r w:rsidR="001C1AE6" w:rsidRPr="00EE23B8">
        <w:rPr>
          <w:rFonts w:cs="Calibri"/>
        </w:rPr>
        <w:t>the law of contract</w:t>
      </w:r>
      <w:r w:rsidR="00BC14C9">
        <w:rPr>
          <w:rFonts w:cs="Calibri"/>
        </w:rPr>
        <w:t>, debt actions, commercial litigation, administrative law, etc.</w:t>
      </w:r>
      <w:r w:rsidR="001C1AE6" w:rsidRPr="00EE23B8">
        <w:rPr>
          <w:rFonts w:cs="Calibri"/>
        </w:rPr>
        <w:t>. </w:t>
      </w:r>
      <w:r w:rsidR="00BC14C9">
        <w:rPr>
          <w:rFonts w:cs="Calibri"/>
        </w:rPr>
        <w:t>The</w:t>
      </w:r>
      <w:r w:rsidR="00BC14C9" w:rsidRPr="00BC14C9">
        <w:rPr>
          <w:rFonts w:cs="Calibri"/>
        </w:rPr>
        <w:t xml:space="preserve"> Faculty </w:t>
      </w:r>
      <w:r w:rsidR="00BC14C9">
        <w:rPr>
          <w:rFonts w:cs="Calibri"/>
        </w:rPr>
        <w:t>suggests that consideration is given to</w:t>
      </w:r>
      <w:r w:rsidR="00BC14C9" w:rsidRPr="00BC14C9">
        <w:rPr>
          <w:rFonts w:cs="Calibri"/>
        </w:rPr>
        <w:t xml:space="preserve"> restricting </w:t>
      </w:r>
      <w:r>
        <w:rPr>
          <w:rFonts w:cs="Calibri"/>
        </w:rPr>
        <w:t xml:space="preserve">the applicability of </w:t>
      </w:r>
      <w:r w:rsidR="00BC14C9" w:rsidRPr="00BC14C9">
        <w:rPr>
          <w:rFonts w:cs="Calibri"/>
        </w:rPr>
        <w:t>any legislation</w:t>
      </w:r>
      <w:r w:rsidR="001C1AE6" w:rsidRPr="00EE23B8">
        <w:rPr>
          <w:rFonts w:cs="Calibri"/>
        </w:rPr>
        <w:t xml:space="preserve"> to personal injury actions</w:t>
      </w:r>
      <w:r w:rsidR="00BC14C9">
        <w:rPr>
          <w:rFonts w:cs="Calibri"/>
        </w:rPr>
        <w:t xml:space="preserve"> in the first instance</w:t>
      </w:r>
      <w:r w:rsidR="001C1AE6" w:rsidRPr="00EE23B8">
        <w:rPr>
          <w:rFonts w:cs="Calibri"/>
        </w:rPr>
        <w:t>.</w:t>
      </w:r>
      <w:r w:rsidR="00BC14C9" w:rsidRPr="00BC14C9">
        <w:rPr>
          <w:rFonts w:cs="Calibri"/>
        </w:rPr>
        <w:t xml:space="preserve"> </w:t>
      </w:r>
      <w:r w:rsidR="001C1AE6" w:rsidRPr="00EE23B8">
        <w:rPr>
          <w:rFonts w:cs="Calibri"/>
        </w:rPr>
        <w:t>If the Bill is</w:t>
      </w:r>
      <w:r w:rsidR="00BC14C9" w:rsidRPr="00BC14C9">
        <w:rPr>
          <w:rFonts w:cs="Calibri"/>
        </w:rPr>
        <w:t xml:space="preserve"> </w:t>
      </w:r>
      <w:r w:rsidR="001C1AE6" w:rsidRPr="00EE23B8">
        <w:rPr>
          <w:rFonts w:cs="Calibri"/>
        </w:rPr>
        <w:t xml:space="preserve">enacted, then its effect on </w:t>
      </w:r>
      <w:r w:rsidR="00BC14C9">
        <w:rPr>
          <w:rFonts w:cs="Calibri"/>
        </w:rPr>
        <w:t xml:space="preserve">personal injuries actions </w:t>
      </w:r>
      <w:r w:rsidR="001C1AE6" w:rsidRPr="00EE23B8">
        <w:rPr>
          <w:rFonts w:cs="Calibri"/>
        </w:rPr>
        <w:t>can be analysed and a decision made as to whether its provisions ought to be exten</w:t>
      </w:r>
      <w:r w:rsidR="00BC14C9" w:rsidRPr="00BC14C9">
        <w:rPr>
          <w:rFonts w:cs="Calibri"/>
        </w:rPr>
        <w:t>ded to other civil proceedings.</w:t>
      </w:r>
      <w:r w:rsidR="001C1AE6" w:rsidRPr="00EE23B8">
        <w:rPr>
          <w:rFonts w:cs="Calibri"/>
        </w:rPr>
        <w:t xml:space="preserve">   </w:t>
      </w:r>
    </w:p>
    <w:p w14:paraId="7AF60D14" w14:textId="77777777" w:rsidR="001C1AE6" w:rsidRDefault="001C1AE6" w:rsidP="00284A1A">
      <w:pPr>
        <w:jc w:val="both"/>
        <w:rPr>
          <w:rFonts w:eastAsia="Times New Roman" w:cs="Times New Roman"/>
          <w:lang w:val="en-GB"/>
        </w:rPr>
      </w:pPr>
    </w:p>
    <w:p w14:paraId="337EB775" w14:textId="057D3E6A" w:rsidR="00000E5A" w:rsidRDefault="00FF254C" w:rsidP="00284A1A">
      <w:pPr>
        <w:jc w:val="both"/>
        <w:rPr>
          <w:rFonts w:eastAsia="Times New Roman" w:cs="Times New Roman"/>
          <w:lang w:val="en-GB"/>
        </w:rPr>
      </w:pPr>
      <w:r>
        <w:rPr>
          <w:rFonts w:eastAsia="Times New Roman" w:cs="Times New Roman"/>
          <w:lang w:val="en-GB"/>
        </w:rPr>
        <w:t xml:space="preserve">17. </w:t>
      </w:r>
      <w:r w:rsidR="0038161F">
        <w:rPr>
          <w:rFonts w:eastAsia="Times New Roman" w:cs="Times New Roman"/>
          <w:lang w:val="en-GB"/>
        </w:rPr>
        <w:t xml:space="preserve">The Faculty </w:t>
      </w:r>
      <w:r w:rsidR="00D70C81">
        <w:rPr>
          <w:rFonts w:eastAsia="Times New Roman" w:cs="Times New Roman"/>
          <w:lang w:val="en-GB"/>
        </w:rPr>
        <w:t>suggests</w:t>
      </w:r>
      <w:r w:rsidR="0038161F">
        <w:rPr>
          <w:rFonts w:eastAsia="Times New Roman" w:cs="Times New Roman"/>
          <w:lang w:val="en-GB"/>
        </w:rPr>
        <w:t xml:space="preserve"> that the </w:t>
      </w:r>
      <w:r w:rsidR="00D70C81">
        <w:rPr>
          <w:rFonts w:eastAsia="Times New Roman" w:cs="Times New Roman"/>
          <w:lang w:val="en-GB"/>
        </w:rPr>
        <w:t>Bill</w:t>
      </w:r>
      <w:r w:rsidR="0038161F">
        <w:rPr>
          <w:rFonts w:eastAsia="Times New Roman" w:cs="Times New Roman"/>
          <w:lang w:val="en-GB"/>
        </w:rPr>
        <w:t xml:space="preserve"> should</w:t>
      </w:r>
      <w:r w:rsidR="00D70C81">
        <w:rPr>
          <w:rFonts w:eastAsia="Times New Roman" w:cs="Times New Roman"/>
          <w:lang w:val="en-GB"/>
        </w:rPr>
        <w:t xml:space="preserve"> provide, specifically, that it does</w:t>
      </w:r>
      <w:r w:rsidR="0038161F">
        <w:rPr>
          <w:rFonts w:eastAsia="Times New Roman" w:cs="Times New Roman"/>
          <w:lang w:val="en-GB"/>
        </w:rPr>
        <w:t xml:space="preserve"> not apply to</w:t>
      </w:r>
      <w:r w:rsidR="001B1475">
        <w:rPr>
          <w:rFonts w:eastAsia="Times New Roman" w:cs="Times New Roman"/>
          <w:lang w:val="en-GB"/>
        </w:rPr>
        <w:t xml:space="preserve"> pre-litigation </w:t>
      </w:r>
      <w:r w:rsidR="00D3182D">
        <w:rPr>
          <w:rFonts w:eastAsia="Times New Roman" w:cs="Times New Roman"/>
          <w:lang w:val="en-GB"/>
        </w:rPr>
        <w:t>personal injury claims</w:t>
      </w:r>
      <w:r w:rsidR="001B1475">
        <w:rPr>
          <w:rFonts w:eastAsia="Times New Roman" w:cs="Times New Roman"/>
          <w:lang w:val="en-GB"/>
        </w:rPr>
        <w:t xml:space="preserve"> proceeding on the basis of</w:t>
      </w:r>
      <w:r w:rsidR="0038161F">
        <w:rPr>
          <w:rFonts w:eastAsia="Times New Roman" w:cs="Times New Roman"/>
          <w:lang w:val="en-GB"/>
        </w:rPr>
        <w:t xml:space="preserve"> Pre-action Protocols</w:t>
      </w:r>
      <w:r w:rsidR="001B1475">
        <w:rPr>
          <w:rFonts w:eastAsia="Times New Roman" w:cs="Times New Roman"/>
          <w:lang w:val="en-GB"/>
        </w:rPr>
        <w:t xml:space="preserve"> where those Protocols provide for the making of binding admissions of fault: al</w:t>
      </w:r>
      <w:r w:rsidR="0038161F">
        <w:rPr>
          <w:rFonts w:eastAsia="Times New Roman" w:cs="Times New Roman"/>
          <w:lang w:val="en-GB"/>
        </w:rPr>
        <w:t xml:space="preserve">though such protocols are not “proceedings”. </w:t>
      </w:r>
    </w:p>
    <w:p w14:paraId="03BB8C9B" w14:textId="77777777" w:rsidR="009A1815" w:rsidRDefault="009A1815" w:rsidP="00284A1A">
      <w:pPr>
        <w:jc w:val="both"/>
        <w:rPr>
          <w:rFonts w:eastAsia="Times New Roman" w:cs="Times New Roman"/>
          <w:b/>
          <w:lang w:val="en-GB"/>
        </w:rPr>
      </w:pPr>
    </w:p>
    <w:p w14:paraId="2908B9EA" w14:textId="77777777" w:rsidR="006D1D27" w:rsidRPr="006D1D27" w:rsidRDefault="006D1D27" w:rsidP="00284A1A">
      <w:pPr>
        <w:jc w:val="both"/>
        <w:rPr>
          <w:rFonts w:eastAsia="Times New Roman" w:cs="Times New Roman"/>
          <w:lang w:val="en-GB"/>
        </w:rPr>
      </w:pPr>
    </w:p>
    <w:p w14:paraId="4ED10027" w14:textId="77777777" w:rsidR="006D1D27" w:rsidRDefault="006D1D27" w:rsidP="00284A1A">
      <w:pPr>
        <w:jc w:val="both"/>
        <w:rPr>
          <w:rFonts w:eastAsia="Times New Roman" w:cs="Times New Roman"/>
          <w:b/>
          <w:lang w:val="en-GB"/>
        </w:rPr>
      </w:pPr>
      <w:r w:rsidRPr="006D1D27">
        <w:rPr>
          <w:rFonts w:eastAsia="Times New Roman" w:cs="Times New Roman"/>
          <w:b/>
          <w:lang w:val="en-GB"/>
        </w:rPr>
        <w:t>Do you agree with the definition of apology in section 3 of the Bill?</w:t>
      </w:r>
    </w:p>
    <w:p w14:paraId="42FFB035" w14:textId="77777777" w:rsidR="008A3C36" w:rsidRDefault="008A3C36" w:rsidP="00284A1A">
      <w:pPr>
        <w:jc w:val="both"/>
        <w:rPr>
          <w:rFonts w:eastAsia="Times New Roman" w:cs="Times New Roman"/>
          <w:b/>
          <w:lang w:val="en-GB"/>
        </w:rPr>
      </w:pPr>
    </w:p>
    <w:p w14:paraId="6617CB80" w14:textId="293AC22F" w:rsidR="008A3C36" w:rsidRDefault="00FF254C" w:rsidP="00284A1A">
      <w:pPr>
        <w:jc w:val="both"/>
        <w:rPr>
          <w:rFonts w:eastAsia="Times New Roman" w:cs="Times New Roman"/>
          <w:lang w:val="en-GB"/>
        </w:rPr>
      </w:pPr>
      <w:r>
        <w:rPr>
          <w:rFonts w:eastAsia="Times New Roman" w:cs="Times New Roman"/>
          <w:lang w:val="en-GB"/>
        </w:rPr>
        <w:t xml:space="preserve">18. </w:t>
      </w:r>
      <w:r w:rsidR="008A3C36">
        <w:rPr>
          <w:rFonts w:eastAsia="Times New Roman" w:cs="Times New Roman"/>
          <w:lang w:val="en-GB"/>
        </w:rPr>
        <w:t xml:space="preserve">The Faculty does not agree with the definition, as presently worded. We </w:t>
      </w:r>
      <w:r w:rsidR="001B1475">
        <w:rPr>
          <w:rFonts w:eastAsia="Times New Roman" w:cs="Times New Roman"/>
          <w:lang w:val="en-GB"/>
        </w:rPr>
        <w:t xml:space="preserve">do </w:t>
      </w:r>
      <w:r w:rsidR="008A3C36">
        <w:rPr>
          <w:rFonts w:eastAsia="Times New Roman" w:cs="Times New Roman"/>
          <w:lang w:val="en-GB"/>
        </w:rPr>
        <w:t xml:space="preserve">not think </w:t>
      </w:r>
      <w:r w:rsidR="001B1475">
        <w:rPr>
          <w:rFonts w:eastAsia="Times New Roman" w:cs="Times New Roman"/>
          <w:lang w:val="en-GB"/>
        </w:rPr>
        <w:t>it desirable to include</w:t>
      </w:r>
      <w:r w:rsidR="003B7590">
        <w:rPr>
          <w:rFonts w:eastAsia="Times New Roman" w:cs="Times New Roman"/>
          <w:lang w:val="en-GB"/>
        </w:rPr>
        <w:t xml:space="preserve"> </w:t>
      </w:r>
      <w:r w:rsidR="00193678">
        <w:rPr>
          <w:rFonts w:eastAsia="Times New Roman" w:cs="Times New Roman"/>
          <w:lang w:val="en-GB"/>
        </w:rPr>
        <w:t>“</w:t>
      </w:r>
      <w:r w:rsidR="003B7590">
        <w:rPr>
          <w:rFonts w:eastAsia="Times New Roman" w:cs="Times New Roman"/>
          <w:lang w:val="en-GB"/>
        </w:rPr>
        <w:t>de recenti” apologies</w:t>
      </w:r>
      <w:r w:rsidR="001B1475">
        <w:rPr>
          <w:rFonts w:eastAsia="Times New Roman" w:cs="Times New Roman"/>
          <w:lang w:val="en-GB"/>
        </w:rPr>
        <w:t xml:space="preserve"> in the protection given by </w:t>
      </w:r>
      <w:r w:rsidR="008A3C36">
        <w:rPr>
          <w:rFonts w:eastAsia="Times New Roman" w:cs="Times New Roman"/>
          <w:lang w:val="en-GB"/>
        </w:rPr>
        <w:t>the Bill</w:t>
      </w:r>
      <w:r w:rsidR="001B1475">
        <w:rPr>
          <w:rFonts w:eastAsia="Times New Roman" w:cs="Times New Roman"/>
          <w:lang w:val="en-GB"/>
        </w:rPr>
        <w:t>: see</w:t>
      </w:r>
      <w:r w:rsidR="008A3C36">
        <w:rPr>
          <w:rFonts w:eastAsia="Times New Roman" w:cs="Times New Roman"/>
          <w:lang w:val="en-GB"/>
        </w:rPr>
        <w:t xml:space="preserve"> above. Such apologies are not, in our view </w:t>
      </w:r>
      <w:r w:rsidR="003B7590">
        <w:rPr>
          <w:rFonts w:eastAsia="Times New Roman" w:cs="Times New Roman"/>
          <w:lang w:val="en-GB"/>
        </w:rPr>
        <w:t xml:space="preserve">likely to be </w:t>
      </w:r>
      <w:r w:rsidR="008A3C36">
        <w:rPr>
          <w:rFonts w:eastAsia="Times New Roman" w:cs="Times New Roman"/>
          <w:lang w:val="en-GB"/>
        </w:rPr>
        <w:t>susceptible of encouragement</w:t>
      </w:r>
      <w:r w:rsidR="003B7590">
        <w:rPr>
          <w:rFonts w:eastAsia="Times New Roman" w:cs="Times New Roman"/>
          <w:lang w:val="en-GB"/>
        </w:rPr>
        <w:t xml:space="preserve"> </w:t>
      </w:r>
      <w:r w:rsidR="008A3C36">
        <w:rPr>
          <w:rFonts w:eastAsia="Times New Roman" w:cs="Times New Roman"/>
          <w:lang w:val="en-GB"/>
        </w:rPr>
        <w:t xml:space="preserve">by legislation, and by defining apologies in such a wide way [“any statement”] and applying the Bill to any statement made outside proceedings, the advantage of being able to refer to “de recenti” apologies is lost for no </w:t>
      </w:r>
      <w:r w:rsidR="001B1475">
        <w:rPr>
          <w:rFonts w:eastAsia="Times New Roman" w:cs="Times New Roman"/>
          <w:lang w:val="en-GB"/>
        </w:rPr>
        <w:t xml:space="preserve">obvious </w:t>
      </w:r>
      <w:r w:rsidR="008A3C36">
        <w:rPr>
          <w:rFonts w:eastAsia="Times New Roman" w:cs="Times New Roman"/>
          <w:lang w:val="en-GB"/>
        </w:rPr>
        <w:t>gain.</w:t>
      </w:r>
    </w:p>
    <w:p w14:paraId="39E6DD12" w14:textId="77777777" w:rsidR="008A3C36" w:rsidRDefault="008A3C36" w:rsidP="00284A1A">
      <w:pPr>
        <w:jc w:val="both"/>
        <w:rPr>
          <w:rFonts w:eastAsia="Times New Roman" w:cs="Times New Roman"/>
          <w:lang w:val="en-GB"/>
        </w:rPr>
      </w:pPr>
    </w:p>
    <w:p w14:paraId="68BBC0C5" w14:textId="3816C384" w:rsidR="008A3C36" w:rsidRDefault="00FF254C" w:rsidP="00284A1A">
      <w:pPr>
        <w:jc w:val="both"/>
        <w:rPr>
          <w:rFonts w:eastAsia="Times New Roman" w:cs="Times New Roman"/>
          <w:lang w:val="en-GB"/>
        </w:rPr>
      </w:pPr>
      <w:r>
        <w:rPr>
          <w:rFonts w:eastAsia="Times New Roman" w:cs="Times New Roman"/>
          <w:lang w:val="en-GB"/>
        </w:rPr>
        <w:t xml:space="preserve">19. </w:t>
      </w:r>
      <w:r w:rsidR="008A3C36">
        <w:rPr>
          <w:rFonts w:eastAsia="Times New Roman" w:cs="Times New Roman"/>
          <w:lang w:val="en-GB"/>
        </w:rPr>
        <w:t xml:space="preserve">We </w:t>
      </w:r>
      <w:r w:rsidR="003B7590">
        <w:rPr>
          <w:rFonts w:eastAsia="Times New Roman" w:cs="Times New Roman"/>
          <w:lang w:val="en-GB"/>
        </w:rPr>
        <w:t>suggest that consideration is given to altering the definition of apology</w:t>
      </w:r>
      <w:r w:rsidR="008A3C36">
        <w:rPr>
          <w:rFonts w:eastAsia="Times New Roman" w:cs="Times New Roman"/>
          <w:lang w:val="en-GB"/>
        </w:rPr>
        <w:t xml:space="preserve"> by excluding “de recenti” statements.</w:t>
      </w:r>
      <w:r w:rsidR="00BE04B1">
        <w:rPr>
          <w:rFonts w:eastAsia="Times New Roman" w:cs="Times New Roman"/>
          <w:lang w:val="en-GB"/>
        </w:rPr>
        <w:t xml:space="preserve"> What counts as de recenti </w:t>
      </w:r>
      <w:r w:rsidR="001B1475">
        <w:rPr>
          <w:rFonts w:eastAsia="Times New Roman" w:cs="Times New Roman"/>
          <w:lang w:val="en-GB"/>
        </w:rPr>
        <w:t>c</w:t>
      </w:r>
      <w:r w:rsidR="00BE04B1">
        <w:rPr>
          <w:rFonts w:eastAsia="Times New Roman" w:cs="Times New Roman"/>
          <w:lang w:val="en-GB"/>
        </w:rPr>
        <w:t>ould be decided by the court,</w:t>
      </w:r>
      <w:r w:rsidR="001B1475">
        <w:rPr>
          <w:rFonts w:eastAsia="Times New Roman" w:cs="Times New Roman"/>
          <w:lang w:val="en-GB"/>
        </w:rPr>
        <w:t xml:space="preserve"> I</w:t>
      </w:r>
      <w:r w:rsidR="00BE04B1">
        <w:rPr>
          <w:rFonts w:eastAsia="Times New Roman" w:cs="Times New Roman"/>
          <w:lang w:val="en-GB"/>
        </w:rPr>
        <w:t xml:space="preserve">n our view, </w:t>
      </w:r>
      <w:r w:rsidR="001B1475">
        <w:rPr>
          <w:rFonts w:eastAsia="Times New Roman" w:cs="Times New Roman"/>
          <w:lang w:val="en-GB"/>
        </w:rPr>
        <w:t>such a change</w:t>
      </w:r>
      <w:r w:rsidR="00BE04B1">
        <w:rPr>
          <w:rFonts w:eastAsia="Times New Roman" w:cs="Times New Roman"/>
          <w:lang w:val="en-GB"/>
        </w:rPr>
        <w:t xml:space="preserve"> would have no real impact on the</w:t>
      </w:r>
      <w:r w:rsidR="001B1475">
        <w:rPr>
          <w:rFonts w:eastAsia="Times New Roman" w:cs="Times New Roman"/>
          <w:lang w:val="en-GB"/>
        </w:rPr>
        <w:t xml:space="preserve"> giving of the</w:t>
      </w:r>
      <w:r w:rsidR="00BE04B1">
        <w:rPr>
          <w:rFonts w:eastAsia="Times New Roman" w:cs="Times New Roman"/>
          <w:lang w:val="en-GB"/>
        </w:rPr>
        <w:t xml:space="preserve"> kind of apology which the Bill seeks to encourage, which is a considered response.</w:t>
      </w:r>
    </w:p>
    <w:p w14:paraId="7FD5758A" w14:textId="77777777" w:rsidR="003B7590" w:rsidRDefault="003B7590" w:rsidP="00284A1A">
      <w:pPr>
        <w:jc w:val="both"/>
        <w:rPr>
          <w:rFonts w:eastAsia="Times New Roman" w:cs="Times New Roman"/>
          <w:lang w:val="en-GB"/>
        </w:rPr>
      </w:pPr>
    </w:p>
    <w:p w14:paraId="3B0B2645" w14:textId="5C577831" w:rsidR="003B7590" w:rsidRPr="001C1AE6" w:rsidRDefault="00FF254C" w:rsidP="00284A1A">
      <w:pPr>
        <w:jc w:val="both"/>
        <w:rPr>
          <w:rFonts w:eastAsia="Times New Roman" w:cs="Times New Roman"/>
          <w:lang w:val="en-GB"/>
        </w:rPr>
      </w:pPr>
      <w:r>
        <w:rPr>
          <w:rFonts w:eastAsia="Times New Roman" w:cs="Times New Roman"/>
          <w:lang w:val="en-GB"/>
        </w:rPr>
        <w:t xml:space="preserve">20. </w:t>
      </w:r>
      <w:r w:rsidR="003B7590">
        <w:rPr>
          <w:rFonts w:eastAsia="Times New Roman" w:cs="Times New Roman"/>
          <w:lang w:val="en-GB"/>
        </w:rPr>
        <w:t>The Faculty has already commented above on the consequences of the provisions in section 3(a) and (b)</w:t>
      </w:r>
    </w:p>
    <w:p w14:paraId="05DF3F7B" w14:textId="77777777" w:rsidR="00EC6C04" w:rsidRDefault="00EC6C04" w:rsidP="00284A1A">
      <w:pPr>
        <w:jc w:val="both"/>
        <w:rPr>
          <w:rFonts w:eastAsia="Times New Roman" w:cs="Times New Roman"/>
          <w:b/>
          <w:lang w:val="en-GB"/>
        </w:rPr>
      </w:pPr>
    </w:p>
    <w:p w14:paraId="0A602F6B" w14:textId="23CF6388" w:rsidR="006D1D27" w:rsidRPr="006D1D27" w:rsidRDefault="006D1D27" w:rsidP="00284A1A">
      <w:pPr>
        <w:jc w:val="both"/>
        <w:rPr>
          <w:rFonts w:eastAsia="Times New Roman" w:cs="Times New Roman"/>
          <w:b/>
          <w:lang w:val="en-GB"/>
        </w:rPr>
      </w:pPr>
      <w:r w:rsidRPr="006D1D27">
        <w:rPr>
          <w:rFonts w:eastAsia="Times New Roman" w:cs="Times New Roman"/>
          <w:b/>
          <w:lang w:val="en-GB"/>
        </w:rPr>
        <w:t xml:space="preserve"> </w:t>
      </w:r>
    </w:p>
    <w:p w14:paraId="2707DC8A" w14:textId="77777777" w:rsidR="006D1D27" w:rsidRDefault="006D1D27" w:rsidP="00284A1A">
      <w:pPr>
        <w:jc w:val="both"/>
        <w:rPr>
          <w:rFonts w:eastAsia="Times New Roman" w:cs="Times New Roman"/>
          <w:b/>
          <w:lang w:val="en-GB"/>
        </w:rPr>
      </w:pPr>
      <w:r w:rsidRPr="006D1D27">
        <w:rPr>
          <w:rFonts w:eastAsia="Times New Roman" w:cs="Times New Roman"/>
          <w:b/>
          <w:lang w:val="en-GB"/>
        </w:rPr>
        <w:t>Do you agree that the Bill will facilitate wider cultural and social change as far as perceptions of apologies are concerned, as suggested in the Policy Memorandum on the Bill?</w:t>
      </w:r>
    </w:p>
    <w:p w14:paraId="73A44FBE" w14:textId="77777777" w:rsidR="00EC6C04" w:rsidRDefault="00EC6C04" w:rsidP="00284A1A">
      <w:pPr>
        <w:jc w:val="both"/>
        <w:rPr>
          <w:rFonts w:eastAsia="Times New Roman" w:cs="Times New Roman"/>
          <w:b/>
          <w:lang w:val="en-GB"/>
        </w:rPr>
      </w:pPr>
    </w:p>
    <w:p w14:paraId="019417A9" w14:textId="0EF1F423" w:rsidR="00EC6C04" w:rsidRDefault="00FF254C" w:rsidP="00284A1A">
      <w:pPr>
        <w:jc w:val="both"/>
        <w:rPr>
          <w:rFonts w:eastAsia="Times New Roman" w:cs="Times New Roman"/>
          <w:lang w:val="en-GB"/>
        </w:rPr>
      </w:pPr>
      <w:r>
        <w:rPr>
          <w:rFonts w:eastAsia="Times New Roman" w:cs="Times New Roman"/>
          <w:lang w:val="en-GB"/>
        </w:rPr>
        <w:lastRenderedPageBreak/>
        <w:t xml:space="preserve">21. </w:t>
      </w:r>
      <w:r w:rsidR="00EC6C04">
        <w:rPr>
          <w:rFonts w:eastAsia="Times New Roman" w:cs="Times New Roman"/>
          <w:lang w:val="en-GB"/>
        </w:rPr>
        <w:t xml:space="preserve">The Faculty </w:t>
      </w:r>
      <w:r w:rsidR="001B1475">
        <w:rPr>
          <w:rFonts w:eastAsia="Times New Roman" w:cs="Times New Roman"/>
          <w:lang w:val="en-GB"/>
        </w:rPr>
        <w:t xml:space="preserve">would like to believe that such a simple change in the law would have the dramatic effect suggested, but </w:t>
      </w:r>
      <w:r w:rsidR="00EC6C04">
        <w:rPr>
          <w:rFonts w:eastAsia="Times New Roman" w:cs="Times New Roman"/>
          <w:lang w:val="en-GB"/>
        </w:rPr>
        <w:t>remains sceptical that the Bill will achieve its desired end</w:t>
      </w:r>
      <w:r w:rsidR="00D70C81">
        <w:rPr>
          <w:rFonts w:eastAsia="Times New Roman" w:cs="Times New Roman"/>
          <w:lang w:val="en-GB"/>
        </w:rPr>
        <w:t>. Indeed, by providing that an apology is inadmissible, it m</w:t>
      </w:r>
      <w:r w:rsidR="00AC6C22">
        <w:rPr>
          <w:rFonts w:eastAsia="Times New Roman" w:cs="Times New Roman"/>
          <w:lang w:val="en-GB"/>
        </w:rPr>
        <w:t>ight</w:t>
      </w:r>
      <w:r w:rsidR="00D70C81">
        <w:rPr>
          <w:rFonts w:eastAsia="Times New Roman" w:cs="Times New Roman"/>
          <w:lang w:val="en-GB"/>
        </w:rPr>
        <w:t xml:space="preserve"> promote the view (in the recipient) that an apology is not worthwhile because it has only been made with view to avoiding (or lessening) consequences, and is, therefore, not a “real” apology.</w:t>
      </w:r>
    </w:p>
    <w:p w14:paraId="295C725B" w14:textId="77777777" w:rsidR="00AC6C22" w:rsidRDefault="00AC6C22" w:rsidP="00284A1A">
      <w:pPr>
        <w:jc w:val="both"/>
        <w:rPr>
          <w:rFonts w:eastAsia="Times New Roman" w:cs="Times New Roman"/>
          <w:lang w:val="en-GB"/>
        </w:rPr>
      </w:pPr>
    </w:p>
    <w:p w14:paraId="5A9BDD3B" w14:textId="732FADF1" w:rsidR="006B3C4B" w:rsidRPr="001C1AE6" w:rsidRDefault="00FF254C" w:rsidP="00284A1A">
      <w:pPr>
        <w:jc w:val="both"/>
        <w:rPr>
          <w:rFonts w:eastAsia="Times New Roman" w:cs="Times New Roman"/>
          <w:lang w:val="en-GB"/>
        </w:rPr>
      </w:pPr>
      <w:r>
        <w:rPr>
          <w:rFonts w:eastAsia="Times New Roman" w:cs="Times New Roman"/>
          <w:lang w:val="en-GB"/>
        </w:rPr>
        <w:t xml:space="preserve">22. </w:t>
      </w:r>
      <w:r w:rsidR="006B3C4B">
        <w:rPr>
          <w:rFonts w:eastAsia="Times New Roman" w:cs="Times New Roman"/>
          <w:lang w:val="en-GB"/>
        </w:rPr>
        <w:t xml:space="preserve">So far as the Faculty can determine there is no convincing empirical evidence that an apologies law per se has the dramatic effects contended for, or that it may have such effects in all types of case. This is despite the widespread adoption in other jurisdictions. </w:t>
      </w:r>
      <w:r w:rsidR="00AC6C22">
        <w:rPr>
          <w:rFonts w:eastAsia="Times New Roman" w:cs="Times New Roman"/>
          <w:lang w:val="en-GB"/>
        </w:rPr>
        <w:t xml:space="preserve">If the effect is so dramatic we would expect this to be demonstrable. </w:t>
      </w:r>
      <w:r w:rsidR="006B3C4B">
        <w:rPr>
          <w:rFonts w:eastAsia="Times New Roman" w:cs="Times New Roman"/>
          <w:lang w:val="en-GB"/>
        </w:rPr>
        <w:t xml:space="preserve">We consider the evidence base put forward in support of the Bill below. </w:t>
      </w:r>
    </w:p>
    <w:p w14:paraId="74F3F216" w14:textId="17B8D157" w:rsidR="006D1D27" w:rsidRPr="006D1D27" w:rsidRDefault="006D1D27" w:rsidP="00284A1A">
      <w:pPr>
        <w:jc w:val="both"/>
        <w:rPr>
          <w:rFonts w:eastAsia="Times New Roman" w:cs="Times New Roman"/>
          <w:b/>
          <w:lang w:val="en-GB"/>
        </w:rPr>
      </w:pPr>
    </w:p>
    <w:p w14:paraId="4D9B1FF1" w14:textId="77777777" w:rsidR="006D1D27" w:rsidRDefault="006D1D27" w:rsidP="00284A1A">
      <w:pPr>
        <w:jc w:val="both"/>
        <w:rPr>
          <w:rFonts w:eastAsia="Times New Roman" w:cs="Times New Roman"/>
          <w:b/>
          <w:lang w:val="en-GB"/>
        </w:rPr>
      </w:pPr>
      <w:r w:rsidRPr="006D1D27">
        <w:rPr>
          <w:rFonts w:eastAsia="Times New Roman" w:cs="Times New Roman"/>
          <w:b/>
          <w:lang w:val="en-GB"/>
        </w:rPr>
        <w:t>Are there any lessons that can be learned from how apologies legislation works in practice in other legislatures?</w:t>
      </w:r>
    </w:p>
    <w:p w14:paraId="53253465" w14:textId="77777777" w:rsidR="00D44088" w:rsidRDefault="00D44088" w:rsidP="00284A1A">
      <w:pPr>
        <w:jc w:val="both"/>
        <w:rPr>
          <w:rFonts w:eastAsia="Times New Roman" w:cs="Times New Roman"/>
          <w:b/>
          <w:lang w:val="en-GB"/>
        </w:rPr>
      </w:pPr>
    </w:p>
    <w:p w14:paraId="5557EA58" w14:textId="69ACBDB6" w:rsidR="00807865" w:rsidRDefault="00FF254C" w:rsidP="00284A1A">
      <w:pPr>
        <w:jc w:val="both"/>
        <w:rPr>
          <w:rFonts w:eastAsia="Times New Roman" w:cs="Times New Roman"/>
          <w:lang w:val="en-GB"/>
        </w:rPr>
      </w:pPr>
      <w:r>
        <w:rPr>
          <w:rFonts w:eastAsia="Times New Roman" w:cs="Times New Roman"/>
          <w:lang w:val="en-GB"/>
        </w:rPr>
        <w:t xml:space="preserve">23. </w:t>
      </w:r>
      <w:r w:rsidR="00D44088">
        <w:rPr>
          <w:rFonts w:eastAsia="Times New Roman" w:cs="Times New Roman"/>
          <w:lang w:val="en-GB"/>
        </w:rPr>
        <w:t>The Facult</w:t>
      </w:r>
      <w:r w:rsidR="009619C4">
        <w:rPr>
          <w:rFonts w:eastAsia="Times New Roman" w:cs="Times New Roman"/>
          <w:lang w:val="en-GB"/>
        </w:rPr>
        <w:t>y suggest</w:t>
      </w:r>
      <w:r>
        <w:rPr>
          <w:rFonts w:eastAsia="Times New Roman" w:cs="Times New Roman"/>
          <w:lang w:val="en-GB"/>
        </w:rPr>
        <w:t>s</w:t>
      </w:r>
      <w:r w:rsidR="009619C4">
        <w:rPr>
          <w:rFonts w:eastAsia="Times New Roman" w:cs="Times New Roman"/>
          <w:lang w:val="en-GB"/>
        </w:rPr>
        <w:t xml:space="preserve"> that the evidence</w:t>
      </w:r>
      <w:r w:rsidR="00D44088">
        <w:rPr>
          <w:rFonts w:eastAsia="Times New Roman" w:cs="Times New Roman"/>
          <w:lang w:val="en-GB"/>
        </w:rPr>
        <w:t xml:space="preserve"> in respect of foreign jurisdictions in paragraphs 6 to 10 of the Financial Memorandum requires careful scrutiny.  </w:t>
      </w:r>
      <w:r w:rsidR="004778F5">
        <w:rPr>
          <w:rFonts w:eastAsia="Times New Roman" w:cs="Times New Roman"/>
          <w:lang w:val="en-GB"/>
        </w:rPr>
        <w:t xml:space="preserve">We note that the example of New South Wales is no longer cited in support of the cost savings suggested in the Memorandum: the apologies legislation there being part of a wider package of measures including a high minimum sum for claims of damages for pain </w:t>
      </w:r>
      <w:r w:rsidR="00FB4B88">
        <w:rPr>
          <w:rFonts w:eastAsia="Times New Roman" w:cs="Times New Roman"/>
          <w:lang w:val="en-GB"/>
        </w:rPr>
        <w:t xml:space="preserve">and suffering (circa </w:t>
      </w:r>
      <w:r w:rsidR="003B7590">
        <w:rPr>
          <w:rFonts w:eastAsia="Times New Roman" w:cs="Times New Roman"/>
          <w:lang w:val="en-GB"/>
        </w:rPr>
        <w:t xml:space="preserve">Aus </w:t>
      </w:r>
      <w:r w:rsidR="00FB4B88">
        <w:rPr>
          <w:rFonts w:eastAsia="Times New Roman" w:cs="Times New Roman"/>
          <w:lang w:val="en-GB"/>
        </w:rPr>
        <w:t>$75,000). Express r</w:t>
      </w:r>
      <w:r w:rsidR="004778F5">
        <w:rPr>
          <w:rFonts w:eastAsia="Times New Roman" w:cs="Times New Roman"/>
          <w:lang w:val="en-GB"/>
        </w:rPr>
        <w:t xml:space="preserve">eliance is </w:t>
      </w:r>
      <w:r w:rsidR="009619C4">
        <w:rPr>
          <w:rFonts w:eastAsia="Times New Roman" w:cs="Times New Roman"/>
          <w:lang w:val="en-GB"/>
        </w:rPr>
        <w:t xml:space="preserve">now placed </w:t>
      </w:r>
      <w:r w:rsidR="004778F5">
        <w:rPr>
          <w:rFonts w:eastAsia="Times New Roman" w:cs="Times New Roman"/>
          <w:lang w:val="en-GB"/>
        </w:rPr>
        <w:t>only on the experience in claims against medical professionals in the USA</w:t>
      </w:r>
      <w:r w:rsidR="006B3C4B">
        <w:rPr>
          <w:rFonts w:eastAsia="Times New Roman" w:cs="Times New Roman"/>
          <w:lang w:val="en-GB"/>
        </w:rPr>
        <w:t xml:space="preserve">: </w:t>
      </w:r>
      <w:r w:rsidR="006712A1">
        <w:rPr>
          <w:rFonts w:eastAsia="Times New Roman" w:cs="Times New Roman"/>
          <w:lang w:val="en-GB"/>
        </w:rPr>
        <w:t xml:space="preserve">the Michigan Model and </w:t>
      </w:r>
      <w:r w:rsidR="007B2A6A">
        <w:rPr>
          <w:rFonts w:eastAsia="Times New Roman" w:cs="Times New Roman"/>
          <w:lang w:val="en-GB"/>
        </w:rPr>
        <w:t xml:space="preserve">papers by </w:t>
      </w:r>
      <w:r w:rsidR="006712A1">
        <w:rPr>
          <w:rFonts w:eastAsia="Times New Roman" w:cs="Times New Roman"/>
          <w:lang w:val="en-GB"/>
        </w:rPr>
        <w:t>Ho and Lui</w:t>
      </w:r>
      <w:r w:rsidR="004778F5">
        <w:rPr>
          <w:rFonts w:eastAsia="Times New Roman" w:cs="Times New Roman"/>
          <w:lang w:val="en-GB"/>
        </w:rPr>
        <w:t>.</w:t>
      </w:r>
      <w:r w:rsidR="00766A25">
        <w:rPr>
          <w:rFonts w:eastAsia="Times New Roman" w:cs="Times New Roman"/>
          <w:lang w:val="en-GB"/>
        </w:rPr>
        <w:t xml:space="preserve"> </w:t>
      </w:r>
    </w:p>
    <w:p w14:paraId="28C62223" w14:textId="77777777" w:rsidR="00807865" w:rsidRDefault="00807865" w:rsidP="00284A1A">
      <w:pPr>
        <w:jc w:val="both"/>
        <w:rPr>
          <w:rFonts w:eastAsia="Times New Roman" w:cs="Times New Roman"/>
          <w:lang w:val="en-GB"/>
        </w:rPr>
      </w:pPr>
    </w:p>
    <w:p w14:paraId="4873E8D2" w14:textId="3F21329F" w:rsidR="00807865" w:rsidRPr="001C1AE6" w:rsidRDefault="00F674D7" w:rsidP="00284A1A">
      <w:pPr>
        <w:jc w:val="both"/>
        <w:rPr>
          <w:rFonts w:eastAsia="Times New Roman" w:cs="Times New Roman"/>
          <w:lang w:val="en-GB"/>
        </w:rPr>
      </w:pPr>
      <w:r>
        <w:rPr>
          <w:rFonts w:eastAsia="Times New Roman" w:cs="Times New Roman"/>
          <w:lang w:val="en-GB"/>
        </w:rPr>
        <w:t xml:space="preserve">24. </w:t>
      </w:r>
      <w:r w:rsidR="00807865">
        <w:rPr>
          <w:rFonts w:eastAsia="Times New Roman" w:cs="Times New Roman"/>
          <w:lang w:val="en-GB"/>
        </w:rPr>
        <w:t xml:space="preserve">We understand that of the thirty-six US </w:t>
      </w:r>
      <w:r w:rsidR="0094525B">
        <w:rPr>
          <w:rFonts w:eastAsia="Times New Roman" w:cs="Times New Roman"/>
          <w:lang w:val="en-GB"/>
        </w:rPr>
        <w:t>states that have apologies</w:t>
      </w:r>
      <w:r w:rsidR="00807865">
        <w:rPr>
          <w:rFonts w:eastAsia="Times New Roman" w:cs="Times New Roman"/>
          <w:lang w:val="en-GB"/>
        </w:rPr>
        <w:t xml:space="preserve"> laws </w:t>
      </w:r>
      <w:r w:rsidR="00807865" w:rsidRPr="001C1AE6">
        <w:rPr>
          <w:rFonts w:eastAsia="Times New Roman" w:cs="Times New Roman"/>
          <w:lang w:val="en-GB"/>
        </w:rPr>
        <w:t xml:space="preserve">California, Massachusetts, Florida, Tennessee, Texas, and Washington have general apology statutes that </w:t>
      </w:r>
      <w:r w:rsidR="00807865" w:rsidRPr="00807865">
        <w:rPr>
          <w:rFonts w:eastAsia="Times New Roman" w:cs="Times New Roman"/>
          <w:lang w:val="en-GB"/>
        </w:rPr>
        <w:t>a</w:t>
      </w:r>
      <w:r w:rsidR="00807865" w:rsidRPr="001C1AE6">
        <w:rPr>
          <w:rFonts w:eastAsia="Times New Roman" w:cs="Times New Roman"/>
          <w:lang w:val="en-GB"/>
        </w:rPr>
        <w:t xml:space="preserve">pply across all industries while the other 30 States have specific laws that only protect the statements of apology made by </w:t>
      </w:r>
      <w:r w:rsidR="006B3C4B" w:rsidRPr="006B3C4B">
        <w:rPr>
          <w:rFonts w:eastAsia="Times New Roman" w:cs="Times New Roman"/>
          <w:lang w:val="en-GB"/>
        </w:rPr>
        <w:t>health</w:t>
      </w:r>
      <w:r w:rsidR="00807865" w:rsidRPr="001C1AE6">
        <w:rPr>
          <w:rFonts w:eastAsia="Times New Roman" w:cs="Times New Roman"/>
          <w:lang w:val="en-GB"/>
        </w:rPr>
        <w:t>care providers.</w:t>
      </w:r>
      <w:r w:rsidR="00807865">
        <w:rPr>
          <w:rFonts w:eastAsia="Times New Roman" w:cs="Times New Roman"/>
          <w:lang w:val="en-GB"/>
        </w:rPr>
        <w:t xml:space="preserve"> </w:t>
      </w:r>
      <w:r w:rsidR="0094525B">
        <w:rPr>
          <w:rFonts w:eastAsia="Times New Roman" w:cs="Times New Roman"/>
          <w:lang w:val="en-GB"/>
        </w:rPr>
        <w:t>The US data will therefore tend to be skewed towards the impact of apologies laws on only one economic sector.</w:t>
      </w:r>
      <w:r w:rsidR="00885AE3">
        <w:rPr>
          <w:rFonts w:eastAsia="Times New Roman" w:cs="Times New Roman"/>
          <w:lang w:val="en-GB"/>
        </w:rPr>
        <w:t xml:space="preserve"> Moreover some US states have full apology laws rendering admissions of fault inadmissible whereas other states have partial apology laws under which admissions of fault are not protected.  </w:t>
      </w:r>
      <w:r w:rsidR="0094525B">
        <w:rPr>
          <w:rFonts w:eastAsia="Times New Roman" w:cs="Times New Roman"/>
          <w:lang w:val="en-GB"/>
        </w:rPr>
        <w:t xml:space="preserve"> </w:t>
      </w:r>
    </w:p>
    <w:p w14:paraId="21B78B12" w14:textId="77777777" w:rsidR="00807865" w:rsidRDefault="00807865" w:rsidP="00284A1A">
      <w:pPr>
        <w:jc w:val="both"/>
        <w:rPr>
          <w:rFonts w:eastAsia="Times New Roman" w:cs="Times New Roman"/>
          <w:lang w:val="en-GB"/>
        </w:rPr>
      </w:pPr>
    </w:p>
    <w:p w14:paraId="195EEFA8" w14:textId="7C966A29" w:rsidR="006712A1" w:rsidRDefault="00F674D7" w:rsidP="00284A1A">
      <w:pPr>
        <w:jc w:val="both"/>
        <w:rPr>
          <w:rFonts w:eastAsia="Times New Roman" w:cs="Times New Roman"/>
          <w:lang w:val="en-GB"/>
        </w:rPr>
      </w:pPr>
      <w:r>
        <w:rPr>
          <w:rFonts w:eastAsia="Times New Roman" w:cs="Times New Roman"/>
          <w:lang w:val="en-GB"/>
        </w:rPr>
        <w:t xml:space="preserve">25. </w:t>
      </w:r>
      <w:r w:rsidR="00766A25">
        <w:rPr>
          <w:rFonts w:eastAsia="Times New Roman" w:cs="Times New Roman"/>
          <w:lang w:val="en-GB"/>
        </w:rPr>
        <w:t>We note the prevalence of private medic</w:t>
      </w:r>
      <w:r w:rsidR="006712A1">
        <w:rPr>
          <w:rFonts w:eastAsia="Times New Roman" w:cs="Times New Roman"/>
          <w:lang w:val="en-GB"/>
        </w:rPr>
        <w:t xml:space="preserve">ine </w:t>
      </w:r>
      <w:r w:rsidR="007B2A6A">
        <w:rPr>
          <w:rFonts w:eastAsia="Times New Roman" w:cs="Times New Roman"/>
          <w:lang w:val="en-GB"/>
        </w:rPr>
        <w:t xml:space="preserve">in the US </w:t>
      </w:r>
      <w:r w:rsidR="006712A1">
        <w:rPr>
          <w:rFonts w:eastAsia="Times New Roman" w:cs="Times New Roman"/>
          <w:lang w:val="en-GB"/>
        </w:rPr>
        <w:t xml:space="preserve">and the direct interest </w:t>
      </w:r>
      <w:r w:rsidR="00766A25">
        <w:rPr>
          <w:rFonts w:eastAsia="Times New Roman" w:cs="Times New Roman"/>
          <w:lang w:val="en-GB"/>
        </w:rPr>
        <w:t>US clinician</w:t>
      </w:r>
      <w:r w:rsidR="006712A1">
        <w:rPr>
          <w:rFonts w:eastAsia="Times New Roman" w:cs="Times New Roman"/>
          <w:lang w:val="en-GB"/>
        </w:rPr>
        <w:t>s</w:t>
      </w:r>
      <w:r w:rsidR="009619C4">
        <w:rPr>
          <w:rFonts w:eastAsia="Times New Roman" w:cs="Times New Roman"/>
          <w:lang w:val="en-GB"/>
        </w:rPr>
        <w:t xml:space="preserve"> </w:t>
      </w:r>
      <w:r w:rsidR="00766A25">
        <w:rPr>
          <w:rFonts w:eastAsia="Times New Roman" w:cs="Times New Roman"/>
          <w:lang w:val="en-GB"/>
        </w:rPr>
        <w:t xml:space="preserve">have </w:t>
      </w:r>
      <w:r w:rsidR="006712A1">
        <w:rPr>
          <w:rFonts w:eastAsia="Times New Roman" w:cs="Times New Roman"/>
          <w:lang w:val="en-GB"/>
        </w:rPr>
        <w:t xml:space="preserve">in </w:t>
      </w:r>
      <w:r w:rsidR="00705BD6">
        <w:rPr>
          <w:rFonts w:eastAsia="Times New Roman" w:cs="Times New Roman"/>
          <w:lang w:val="en-GB"/>
        </w:rPr>
        <w:t xml:space="preserve">the outcome of </w:t>
      </w:r>
      <w:r w:rsidR="006712A1">
        <w:rPr>
          <w:rFonts w:eastAsia="Times New Roman" w:cs="Times New Roman"/>
          <w:lang w:val="en-GB"/>
        </w:rPr>
        <w:t xml:space="preserve">claims, including the </w:t>
      </w:r>
      <w:r w:rsidR="00766A25">
        <w:rPr>
          <w:rFonts w:eastAsia="Times New Roman" w:cs="Times New Roman"/>
          <w:lang w:val="en-GB"/>
        </w:rPr>
        <w:t xml:space="preserve">effect on </w:t>
      </w:r>
      <w:r w:rsidR="006712A1">
        <w:rPr>
          <w:rFonts w:eastAsia="Times New Roman" w:cs="Times New Roman"/>
          <w:lang w:val="en-GB"/>
        </w:rPr>
        <w:t xml:space="preserve">their </w:t>
      </w:r>
      <w:r w:rsidR="00766A25">
        <w:rPr>
          <w:rFonts w:eastAsia="Times New Roman" w:cs="Times New Roman"/>
          <w:lang w:val="en-GB"/>
        </w:rPr>
        <w:t>malpractice insurance premiums</w:t>
      </w:r>
      <w:r w:rsidR="0094525B">
        <w:rPr>
          <w:rFonts w:eastAsia="Times New Roman" w:cs="Times New Roman"/>
          <w:lang w:val="en-GB"/>
        </w:rPr>
        <w:t xml:space="preserve"> and their professional reputation among potential </w:t>
      </w:r>
      <w:r w:rsidR="006B3C4B">
        <w:rPr>
          <w:rFonts w:eastAsia="Times New Roman" w:cs="Times New Roman"/>
          <w:lang w:val="en-GB"/>
        </w:rPr>
        <w:t xml:space="preserve">private </w:t>
      </w:r>
      <w:r w:rsidR="0094525B">
        <w:rPr>
          <w:rFonts w:eastAsia="Times New Roman" w:cs="Times New Roman"/>
          <w:lang w:val="en-GB"/>
        </w:rPr>
        <w:t>patients</w:t>
      </w:r>
      <w:r w:rsidR="00766A25">
        <w:rPr>
          <w:rFonts w:eastAsia="Times New Roman" w:cs="Times New Roman"/>
          <w:lang w:val="en-GB"/>
        </w:rPr>
        <w:t xml:space="preserve">. </w:t>
      </w:r>
      <w:r w:rsidR="009619C4">
        <w:rPr>
          <w:rFonts w:eastAsia="Times New Roman" w:cs="Times New Roman"/>
          <w:lang w:val="en-GB"/>
        </w:rPr>
        <w:t>I</w:t>
      </w:r>
      <w:r w:rsidR="00497139">
        <w:rPr>
          <w:rFonts w:eastAsia="Times New Roman" w:cs="Times New Roman"/>
          <w:lang w:val="en-GB"/>
        </w:rPr>
        <w:t>n Scotland most health</w:t>
      </w:r>
      <w:r w:rsidR="00766A25">
        <w:rPr>
          <w:rFonts w:eastAsia="Times New Roman" w:cs="Times New Roman"/>
          <w:lang w:val="en-GB"/>
        </w:rPr>
        <w:t>ca</w:t>
      </w:r>
      <w:r w:rsidR="006712A1">
        <w:rPr>
          <w:rFonts w:eastAsia="Times New Roman" w:cs="Times New Roman"/>
          <w:lang w:val="en-GB"/>
        </w:rPr>
        <w:t>re is delivered by the NHS and</w:t>
      </w:r>
      <w:r w:rsidR="00766A25">
        <w:rPr>
          <w:rFonts w:eastAsia="Times New Roman" w:cs="Times New Roman"/>
          <w:lang w:val="en-GB"/>
        </w:rPr>
        <w:t xml:space="preserve"> doctors have the benefit of Crown indemnity. </w:t>
      </w:r>
    </w:p>
    <w:p w14:paraId="6A1CC9C2" w14:textId="77777777" w:rsidR="006712A1" w:rsidRDefault="006712A1" w:rsidP="00284A1A">
      <w:pPr>
        <w:jc w:val="both"/>
        <w:rPr>
          <w:rFonts w:eastAsia="Times New Roman" w:cs="Times New Roman"/>
          <w:lang w:val="en-GB"/>
        </w:rPr>
      </w:pPr>
    </w:p>
    <w:p w14:paraId="6D750D7C" w14:textId="3173B123" w:rsidR="00C33D5B" w:rsidRDefault="00F674D7" w:rsidP="00284A1A">
      <w:pPr>
        <w:jc w:val="both"/>
        <w:rPr>
          <w:rFonts w:eastAsia="Times New Roman" w:cs="Times New Roman"/>
          <w:lang w:val="en-GB"/>
        </w:rPr>
      </w:pPr>
      <w:r>
        <w:rPr>
          <w:rFonts w:eastAsia="Times New Roman" w:cs="Times New Roman"/>
          <w:lang w:val="en-GB"/>
        </w:rPr>
        <w:t xml:space="preserve">26. </w:t>
      </w:r>
      <w:r w:rsidR="007B2A6A">
        <w:rPr>
          <w:rFonts w:eastAsia="Times New Roman" w:cs="Times New Roman"/>
          <w:lang w:val="en-GB"/>
        </w:rPr>
        <w:t>The f</w:t>
      </w:r>
      <w:r w:rsidR="00C33D5B">
        <w:rPr>
          <w:rFonts w:eastAsia="Times New Roman" w:cs="Times New Roman"/>
          <w:lang w:val="en-GB"/>
        </w:rPr>
        <w:t>unding of claims in Scotland differs</w:t>
      </w:r>
      <w:r w:rsidR="007B2A6A">
        <w:rPr>
          <w:rFonts w:eastAsia="Times New Roman" w:cs="Times New Roman"/>
          <w:lang w:val="en-GB"/>
        </w:rPr>
        <w:t xml:space="preserve"> from the US. Th</w:t>
      </w:r>
      <w:r w:rsidR="009619C4">
        <w:rPr>
          <w:rFonts w:eastAsia="Times New Roman" w:cs="Times New Roman"/>
          <w:lang w:val="en-GB"/>
        </w:rPr>
        <w:t xml:space="preserve">e US systems of funding </w:t>
      </w:r>
      <w:r w:rsidR="00705BD6">
        <w:rPr>
          <w:rFonts w:eastAsia="Times New Roman" w:cs="Times New Roman"/>
          <w:lang w:val="en-GB"/>
        </w:rPr>
        <w:t xml:space="preserve">might mean </w:t>
      </w:r>
      <w:r w:rsidR="009619C4">
        <w:rPr>
          <w:rFonts w:eastAsia="Times New Roman" w:cs="Times New Roman"/>
          <w:lang w:val="en-GB"/>
        </w:rPr>
        <w:t>a higher frequency of</w:t>
      </w:r>
      <w:r w:rsidR="007B2A6A">
        <w:rPr>
          <w:rFonts w:eastAsia="Times New Roman" w:cs="Times New Roman"/>
          <w:lang w:val="en-GB"/>
        </w:rPr>
        <w:t xml:space="preserve"> claims. </w:t>
      </w:r>
      <w:r w:rsidR="006712A1">
        <w:rPr>
          <w:rFonts w:eastAsia="Times New Roman" w:cs="Times New Roman"/>
          <w:lang w:val="en-GB"/>
        </w:rPr>
        <w:t xml:space="preserve">The ability and willingness of US lawyers to take cases on a contingency fee basis </w:t>
      </w:r>
      <w:r w:rsidR="007B2A6A">
        <w:rPr>
          <w:rFonts w:eastAsia="Times New Roman" w:cs="Times New Roman"/>
          <w:lang w:val="en-GB"/>
        </w:rPr>
        <w:t>is thought to provide a relatively low ba</w:t>
      </w:r>
      <w:r w:rsidR="00705BD6">
        <w:rPr>
          <w:rFonts w:eastAsia="Times New Roman" w:cs="Times New Roman"/>
          <w:lang w:val="en-GB"/>
        </w:rPr>
        <w:t>rrier to litigation</w:t>
      </w:r>
      <w:r w:rsidR="009619C4">
        <w:rPr>
          <w:rFonts w:eastAsia="Times New Roman" w:cs="Times New Roman"/>
          <w:lang w:val="en-GB"/>
        </w:rPr>
        <w:t xml:space="preserve">. The </w:t>
      </w:r>
      <w:r w:rsidR="007B2A6A">
        <w:rPr>
          <w:rFonts w:eastAsia="Times New Roman" w:cs="Times New Roman"/>
          <w:lang w:val="en-GB"/>
        </w:rPr>
        <w:t>US f</w:t>
      </w:r>
      <w:r w:rsidR="009619C4">
        <w:rPr>
          <w:rFonts w:eastAsia="Times New Roman" w:cs="Times New Roman"/>
          <w:lang w:val="en-GB"/>
        </w:rPr>
        <w:t xml:space="preserve">igures might then include </w:t>
      </w:r>
      <w:r w:rsidR="007B2A6A">
        <w:rPr>
          <w:rFonts w:eastAsia="Times New Roman" w:cs="Times New Roman"/>
          <w:lang w:val="en-GB"/>
        </w:rPr>
        <w:t xml:space="preserve">cases that would not result in claims in Scotland. </w:t>
      </w:r>
    </w:p>
    <w:p w14:paraId="3E935179" w14:textId="77777777" w:rsidR="00C33D5B" w:rsidRDefault="00C33D5B" w:rsidP="00284A1A">
      <w:pPr>
        <w:jc w:val="both"/>
        <w:rPr>
          <w:rFonts w:eastAsia="Times New Roman" w:cs="Times New Roman"/>
          <w:lang w:val="en-GB"/>
        </w:rPr>
      </w:pPr>
    </w:p>
    <w:p w14:paraId="34A95983" w14:textId="3E5F6A80" w:rsidR="006712A1" w:rsidRDefault="00F674D7" w:rsidP="00284A1A">
      <w:pPr>
        <w:jc w:val="both"/>
        <w:rPr>
          <w:rFonts w:eastAsia="Times New Roman" w:cs="Times New Roman"/>
          <w:lang w:val="en-GB"/>
        </w:rPr>
      </w:pPr>
      <w:r>
        <w:rPr>
          <w:rFonts w:eastAsia="Times New Roman" w:cs="Times New Roman"/>
          <w:lang w:val="en-GB"/>
        </w:rPr>
        <w:lastRenderedPageBreak/>
        <w:t xml:space="preserve">27. </w:t>
      </w:r>
      <w:r w:rsidR="00C33D5B">
        <w:rPr>
          <w:rFonts w:eastAsia="Times New Roman" w:cs="Times New Roman"/>
          <w:lang w:val="en-GB"/>
        </w:rPr>
        <w:t>Anecdotally awards in the US are higher than in Scotland. Jury awards tend to be higher than judge awards and are common in the US but rare in Scotland. There might then be greater scope in practice to reduce settlement figures in the US.</w:t>
      </w:r>
      <w:r w:rsidR="007B2A6A">
        <w:rPr>
          <w:rFonts w:eastAsia="Times New Roman" w:cs="Times New Roman"/>
          <w:lang w:val="en-GB"/>
        </w:rPr>
        <w:t xml:space="preserve"> </w:t>
      </w:r>
      <w:r w:rsidR="006712A1">
        <w:rPr>
          <w:rFonts w:eastAsia="Times New Roman" w:cs="Times New Roman"/>
          <w:lang w:val="en-GB"/>
        </w:rPr>
        <w:t xml:space="preserve">  </w:t>
      </w:r>
    </w:p>
    <w:p w14:paraId="5FDBC629" w14:textId="77777777" w:rsidR="006712A1" w:rsidRDefault="006712A1" w:rsidP="00284A1A">
      <w:pPr>
        <w:jc w:val="both"/>
        <w:rPr>
          <w:rFonts w:eastAsia="Times New Roman" w:cs="Times New Roman"/>
          <w:lang w:val="en-GB"/>
        </w:rPr>
      </w:pPr>
    </w:p>
    <w:p w14:paraId="0D4E0F5B" w14:textId="6D8581B8" w:rsidR="00027461" w:rsidRDefault="00F674D7" w:rsidP="00284A1A">
      <w:pPr>
        <w:jc w:val="both"/>
        <w:rPr>
          <w:rFonts w:eastAsia="Times New Roman" w:cs="Times New Roman"/>
          <w:lang w:val="en-GB"/>
        </w:rPr>
      </w:pPr>
      <w:r>
        <w:rPr>
          <w:rFonts w:eastAsia="Times New Roman" w:cs="Times New Roman"/>
          <w:lang w:val="en-GB"/>
        </w:rPr>
        <w:t xml:space="preserve">28. </w:t>
      </w:r>
      <w:r w:rsidR="006712A1">
        <w:rPr>
          <w:rFonts w:eastAsia="Times New Roman" w:cs="Times New Roman"/>
          <w:lang w:val="en-GB"/>
        </w:rPr>
        <w:t>Much of the US data involves patients choosing not to sue their doctors, or if they do so then accepting lower settlement amounts</w:t>
      </w:r>
      <w:r>
        <w:rPr>
          <w:rFonts w:eastAsia="Times New Roman" w:cs="Times New Roman"/>
          <w:lang w:val="en-GB"/>
        </w:rPr>
        <w:t xml:space="preserve"> than they might otherwise</w:t>
      </w:r>
      <w:r w:rsidR="006712A1">
        <w:rPr>
          <w:rFonts w:eastAsia="Times New Roman" w:cs="Times New Roman"/>
          <w:lang w:val="en-GB"/>
        </w:rPr>
        <w:t xml:space="preserve">. From the perspective of the health provider this might be a good thing. From the point of view of the patient the benefit is less certain: </w:t>
      </w:r>
      <w:r w:rsidR="007B2A6A">
        <w:rPr>
          <w:rFonts w:eastAsia="Times New Roman" w:cs="Times New Roman"/>
          <w:lang w:val="en-GB"/>
        </w:rPr>
        <w:t xml:space="preserve">arguably </w:t>
      </w:r>
      <w:r w:rsidR="006712A1">
        <w:rPr>
          <w:rFonts w:eastAsia="Times New Roman" w:cs="Times New Roman"/>
          <w:lang w:val="en-GB"/>
        </w:rPr>
        <w:t>the healthcare provider’s saving is the patient’s under-compensation.</w:t>
      </w:r>
      <w:r w:rsidR="00766A25">
        <w:rPr>
          <w:rFonts w:eastAsia="Times New Roman" w:cs="Times New Roman"/>
          <w:lang w:val="en-GB"/>
        </w:rPr>
        <w:t xml:space="preserve"> </w:t>
      </w:r>
    </w:p>
    <w:p w14:paraId="2B539770" w14:textId="77777777" w:rsidR="004D534E" w:rsidRDefault="004D534E" w:rsidP="00284A1A">
      <w:pPr>
        <w:jc w:val="both"/>
        <w:rPr>
          <w:rFonts w:eastAsia="Times New Roman" w:cs="Times New Roman"/>
          <w:lang w:val="en-GB"/>
        </w:rPr>
      </w:pPr>
    </w:p>
    <w:p w14:paraId="537DE1BF" w14:textId="4E383E2B" w:rsidR="00F674D7" w:rsidRDefault="00F674D7" w:rsidP="00284A1A">
      <w:pPr>
        <w:jc w:val="both"/>
        <w:rPr>
          <w:rFonts w:eastAsia="Times New Roman" w:cs="Times New Roman"/>
          <w:lang w:val="en-GB"/>
        </w:rPr>
      </w:pPr>
      <w:r>
        <w:rPr>
          <w:rFonts w:eastAsia="Times New Roman" w:cs="Times New Roman"/>
          <w:lang w:val="en-GB"/>
        </w:rPr>
        <w:t xml:space="preserve">29. </w:t>
      </w:r>
      <w:r w:rsidR="004D534E">
        <w:rPr>
          <w:rFonts w:eastAsia="Times New Roman" w:cs="Times New Roman"/>
          <w:lang w:val="en-GB"/>
        </w:rPr>
        <w:t>We append a</w:t>
      </w:r>
      <w:r w:rsidR="00193678">
        <w:rPr>
          <w:rFonts w:eastAsia="Times New Roman" w:cs="Times New Roman"/>
          <w:lang w:val="en-GB"/>
        </w:rPr>
        <w:t xml:space="preserve"> brief</w:t>
      </w:r>
      <w:r w:rsidR="004D534E">
        <w:rPr>
          <w:rFonts w:eastAsia="Times New Roman" w:cs="Times New Roman"/>
          <w:lang w:val="en-GB"/>
        </w:rPr>
        <w:t xml:space="preserve"> analysis of the Michigan Model and</w:t>
      </w:r>
      <w:r>
        <w:rPr>
          <w:rFonts w:eastAsia="Times New Roman" w:cs="Times New Roman"/>
          <w:lang w:val="en-GB"/>
        </w:rPr>
        <w:t xml:space="preserve"> papers by</w:t>
      </w:r>
      <w:r w:rsidR="004D534E">
        <w:rPr>
          <w:rFonts w:eastAsia="Times New Roman" w:cs="Times New Roman"/>
          <w:lang w:val="en-GB"/>
        </w:rPr>
        <w:t xml:space="preserve"> Ho and Lui</w:t>
      </w:r>
      <w:r>
        <w:rPr>
          <w:rFonts w:eastAsia="Times New Roman" w:cs="Times New Roman"/>
          <w:lang w:val="en-GB"/>
        </w:rPr>
        <w:t>, being the sole evidence base in the Financial Memorandum,</w:t>
      </w:r>
      <w:r w:rsidR="004D534E">
        <w:rPr>
          <w:rFonts w:eastAsia="Times New Roman" w:cs="Times New Roman"/>
          <w:lang w:val="en-GB"/>
        </w:rPr>
        <w:t xml:space="preserve"> and suggest that neither source provides much, if any, </w:t>
      </w:r>
      <w:r>
        <w:rPr>
          <w:rFonts w:eastAsia="Times New Roman" w:cs="Times New Roman"/>
          <w:lang w:val="en-GB"/>
        </w:rPr>
        <w:t>support</w:t>
      </w:r>
      <w:r w:rsidR="004D534E">
        <w:rPr>
          <w:rFonts w:eastAsia="Times New Roman" w:cs="Times New Roman"/>
          <w:lang w:val="en-GB"/>
        </w:rPr>
        <w:t xml:space="preserve"> for the contentions as to causal efficacy</w:t>
      </w:r>
      <w:r>
        <w:rPr>
          <w:rFonts w:eastAsia="Times New Roman" w:cs="Times New Roman"/>
          <w:lang w:val="en-GB"/>
        </w:rPr>
        <w:t xml:space="preserve"> made</w:t>
      </w:r>
      <w:r w:rsidR="004D534E">
        <w:rPr>
          <w:rFonts w:eastAsia="Times New Roman" w:cs="Times New Roman"/>
          <w:lang w:val="en-GB"/>
        </w:rPr>
        <w:t xml:space="preserve"> in the Memorandum.</w:t>
      </w:r>
      <w:r w:rsidRPr="00F674D7">
        <w:rPr>
          <w:rFonts w:eastAsia="Times New Roman" w:cs="Times New Roman"/>
          <w:lang w:val="en-GB"/>
        </w:rPr>
        <w:t xml:space="preserve"> </w:t>
      </w:r>
    </w:p>
    <w:p w14:paraId="7CAD6523" w14:textId="77777777" w:rsidR="00F674D7" w:rsidRDefault="00F674D7" w:rsidP="00284A1A">
      <w:pPr>
        <w:jc w:val="both"/>
        <w:rPr>
          <w:rFonts w:eastAsia="Times New Roman" w:cs="Times New Roman"/>
          <w:lang w:val="en-GB"/>
        </w:rPr>
      </w:pPr>
    </w:p>
    <w:p w14:paraId="0E2C1DF8" w14:textId="230DE222" w:rsidR="00F674D7" w:rsidRDefault="00F674D7" w:rsidP="00284A1A">
      <w:pPr>
        <w:jc w:val="both"/>
        <w:rPr>
          <w:rFonts w:eastAsia="Times New Roman" w:cs="Times New Roman"/>
          <w:lang w:val="en-GB"/>
        </w:rPr>
      </w:pPr>
      <w:r>
        <w:rPr>
          <w:rFonts w:eastAsia="Times New Roman" w:cs="Times New Roman"/>
          <w:lang w:val="en-GB"/>
        </w:rPr>
        <w:t>30. It is not clear how the Michigan Model could apply outwith the institutional healthcare setting.</w:t>
      </w:r>
    </w:p>
    <w:p w14:paraId="4D867721" w14:textId="77777777" w:rsidR="00F674D7" w:rsidRDefault="00F674D7" w:rsidP="00284A1A">
      <w:pPr>
        <w:jc w:val="both"/>
        <w:rPr>
          <w:rFonts w:eastAsia="Times New Roman" w:cs="Times New Roman"/>
          <w:lang w:val="en-GB"/>
        </w:rPr>
      </w:pPr>
    </w:p>
    <w:p w14:paraId="3A950421" w14:textId="66A8F3E9" w:rsidR="00F674D7" w:rsidRDefault="00F674D7" w:rsidP="00284A1A">
      <w:pPr>
        <w:jc w:val="both"/>
        <w:rPr>
          <w:rFonts w:eastAsia="Times New Roman" w:cs="Times New Roman"/>
          <w:lang w:val="en-GB"/>
        </w:rPr>
      </w:pPr>
      <w:r>
        <w:rPr>
          <w:rFonts w:eastAsia="Times New Roman" w:cs="Times New Roman"/>
          <w:lang w:val="en-GB"/>
        </w:rPr>
        <w:t xml:space="preserve">31. Most personal injuries actions raised in Scotland are not against healthcare providers. </w:t>
      </w:r>
    </w:p>
    <w:p w14:paraId="01CC4959" w14:textId="77777777" w:rsidR="00F674D7" w:rsidRDefault="00F674D7" w:rsidP="00284A1A">
      <w:pPr>
        <w:jc w:val="both"/>
        <w:rPr>
          <w:rFonts w:eastAsia="Times New Roman" w:cs="Times New Roman"/>
          <w:lang w:val="en-GB"/>
        </w:rPr>
      </w:pPr>
    </w:p>
    <w:p w14:paraId="15268944" w14:textId="7AA22F5F" w:rsidR="00F674D7" w:rsidRDefault="00F674D7" w:rsidP="00284A1A">
      <w:pPr>
        <w:jc w:val="both"/>
        <w:rPr>
          <w:rFonts w:eastAsia="Times New Roman" w:cs="Times New Roman"/>
          <w:lang w:val="en-GB"/>
        </w:rPr>
      </w:pPr>
      <w:r>
        <w:rPr>
          <w:rFonts w:eastAsia="Times New Roman" w:cs="Times New Roman"/>
          <w:lang w:val="en-GB"/>
        </w:rPr>
        <w:t xml:space="preserve">32. The Faculty is therefore unable to understand the suggestion in paragraph 12 of the Financial Memorandum that, based on the experience of the Michigan Model, the passing of the Bill might result in a reduction in the number of Scottish personal injury cases “of around 50% in eight years”. This is the approximate reduction in medical malpractice claims achieved by the Michigan Model between 1999 and 2006. </w:t>
      </w:r>
    </w:p>
    <w:p w14:paraId="026CB673" w14:textId="77777777" w:rsidR="00F674D7" w:rsidRDefault="00F674D7" w:rsidP="00284A1A">
      <w:pPr>
        <w:jc w:val="both"/>
        <w:rPr>
          <w:rFonts w:eastAsia="Times New Roman" w:cs="Times New Roman"/>
          <w:lang w:val="en-GB"/>
        </w:rPr>
      </w:pPr>
    </w:p>
    <w:p w14:paraId="1F9FFB7F" w14:textId="3B0047C6" w:rsidR="00F674D7" w:rsidRDefault="00F674D7" w:rsidP="00284A1A">
      <w:pPr>
        <w:jc w:val="both"/>
        <w:rPr>
          <w:rFonts w:eastAsia="Times New Roman" w:cs="Times New Roman"/>
          <w:lang w:val="en-GB"/>
        </w:rPr>
      </w:pPr>
      <w:r>
        <w:rPr>
          <w:rFonts w:eastAsia="Times New Roman" w:cs="Times New Roman"/>
          <w:lang w:val="en-GB"/>
        </w:rPr>
        <w:t xml:space="preserve">33. Lest the Faculty be accused of having regard to its own members’ interests in this matter we note that the Michigan Model is said in practice to benefit lawyers. </w:t>
      </w:r>
    </w:p>
    <w:p w14:paraId="578006F0" w14:textId="77777777" w:rsidR="00F674D7" w:rsidRDefault="00F674D7" w:rsidP="00284A1A">
      <w:pPr>
        <w:jc w:val="both"/>
        <w:rPr>
          <w:rFonts w:eastAsia="Times New Roman" w:cs="Times New Roman"/>
          <w:lang w:val="en-GB"/>
        </w:rPr>
      </w:pPr>
    </w:p>
    <w:p w14:paraId="659700D3" w14:textId="14CE3EF0" w:rsidR="00F674D7" w:rsidRDefault="00F674D7" w:rsidP="00284A1A">
      <w:pPr>
        <w:jc w:val="both"/>
        <w:rPr>
          <w:rFonts w:eastAsia="Times New Roman" w:cs="Times New Roman"/>
          <w:lang w:val="en-GB"/>
        </w:rPr>
      </w:pPr>
      <w:r>
        <w:rPr>
          <w:rFonts w:eastAsia="Times New Roman" w:cs="Times New Roman"/>
          <w:lang w:val="en-GB"/>
        </w:rPr>
        <w:t>34. We offer no criticism of the Michigan Model, which appears to work well in Michigan. However Faculty is uncertain that very much can be taken from the example of the Model in support of the current Bill.</w:t>
      </w:r>
    </w:p>
    <w:p w14:paraId="5ADACF61" w14:textId="77777777" w:rsidR="005013F7" w:rsidRDefault="005013F7" w:rsidP="00284A1A">
      <w:pPr>
        <w:jc w:val="both"/>
        <w:rPr>
          <w:rFonts w:eastAsia="Times New Roman" w:cs="Times New Roman"/>
          <w:lang w:val="en-GB"/>
        </w:rPr>
      </w:pPr>
    </w:p>
    <w:p w14:paraId="278EBD1D" w14:textId="662A1E63" w:rsidR="005013F7" w:rsidRDefault="005013F7" w:rsidP="00284A1A">
      <w:pPr>
        <w:jc w:val="both"/>
        <w:rPr>
          <w:rFonts w:eastAsia="Times New Roman" w:cs="Times New Roman"/>
          <w:lang w:val="en-GB"/>
        </w:rPr>
      </w:pPr>
      <w:r>
        <w:rPr>
          <w:rFonts w:eastAsia="Times New Roman" w:cs="Times New Roman"/>
          <w:lang w:val="en-GB"/>
        </w:rPr>
        <w:t xml:space="preserve">35. Turning to Ho and Lui, we are unable to express any view on the mathematical or statistical methods used by them. We assume the journals in which their articles are published are reputable but do not know what degree of peer review articles are subjected to before acceptance. </w:t>
      </w:r>
      <w:r w:rsidR="0082147F">
        <w:rPr>
          <w:rFonts w:eastAsia="Times New Roman" w:cs="Times New Roman"/>
          <w:lang w:val="en-GB"/>
        </w:rPr>
        <w:t>The</w:t>
      </w:r>
      <w:r w:rsidR="00F23506">
        <w:rPr>
          <w:rFonts w:eastAsia="Times New Roman" w:cs="Times New Roman"/>
          <w:lang w:val="en-GB"/>
        </w:rPr>
        <w:t xml:space="preserve"> economic</w:t>
      </w:r>
      <w:r>
        <w:rPr>
          <w:rFonts w:eastAsia="Times New Roman" w:cs="Times New Roman"/>
          <w:lang w:val="en-GB"/>
        </w:rPr>
        <w:t xml:space="preserve"> “game model” </w:t>
      </w:r>
      <w:r w:rsidR="0082147F">
        <w:rPr>
          <w:rFonts w:eastAsia="Times New Roman" w:cs="Times New Roman"/>
          <w:lang w:val="en-GB"/>
        </w:rPr>
        <w:t xml:space="preserve">used </w:t>
      </w:r>
      <w:r>
        <w:rPr>
          <w:rFonts w:eastAsia="Times New Roman" w:cs="Times New Roman"/>
          <w:lang w:val="en-GB"/>
        </w:rPr>
        <w:t>seems to us to be capable, if at all, of capturing the motivations of the players if the doctors are in the private healthcare sector. We cannot see how the analysis can say much about the likely impact on claims arising from NHS care where Crown indemnity applies and payments of damages are made (ultimately) by the State, or on claims outwith the healthcare sector. We suggest that the patient’s “psychic cost” is also not so obvious in NHS care. Moreover the game model assumes the patient will incur costs of litigation,</w:t>
      </w:r>
      <w:r w:rsidR="00B667FF">
        <w:rPr>
          <w:rFonts w:eastAsia="Times New Roman" w:cs="Times New Roman"/>
          <w:lang w:val="en-GB"/>
        </w:rPr>
        <w:t xml:space="preserve"> and this has to be seen in the context of US practice. The US state rules on the recoverability of litigation expenses from a losing party vary but a successful claimant may not be </w:t>
      </w:r>
      <w:r w:rsidR="00B667FF">
        <w:rPr>
          <w:rFonts w:eastAsia="Times New Roman" w:cs="Times New Roman"/>
          <w:lang w:val="en-GB"/>
        </w:rPr>
        <w:lastRenderedPageBreak/>
        <w:t xml:space="preserve">able to recover their costs and a successful defendant will seldom be able to do so: making it problematic to transpose to Scotland an economic litigation game model designed for US claims.  As matters stand a successful party in Scotland will </w:t>
      </w:r>
      <w:r w:rsidR="009A1815">
        <w:rPr>
          <w:rFonts w:eastAsia="Times New Roman" w:cs="Times New Roman"/>
          <w:lang w:val="en-GB"/>
        </w:rPr>
        <w:t xml:space="preserve">usually </w:t>
      </w:r>
      <w:r w:rsidR="00B667FF">
        <w:rPr>
          <w:rFonts w:eastAsia="Times New Roman" w:cs="Times New Roman"/>
          <w:lang w:val="en-GB"/>
        </w:rPr>
        <w:t>recover their judicial expenses from their opponent. A patient</w:t>
      </w:r>
      <w:r>
        <w:rPr>
          <w:rFonts w:eastAsia="Times New Roman" w:cs="Times New Roman"/>
          <w:lang w:val="en-GB"/>
        </w:rPr>
        <w:t xml:space="preserve"> in Scotland </w:t>
      </w:r>
      <w:r w:rsidR="00B667FF">
        <w:rPr>
          <w:rFonts w:eastAsia="Times New Roman" w:cs="Times New Roman"/>
          <w:lang w:val="en-GB"/>
        </w:rPr>
        <w:t xml:space="preserve">who </w:t>
      </w:r>
      <w:r>
        <w:rPr>
          <w:rFonts w:eastAsia="Times New Roman" w:cs="Times New Roman"/>
          <w:lang w:val="en-GB"/>
        </w:rPr>
        <w:t>has the benefit of legal aid</w:t>
      </w:r>
      <w:r w:rsidR="00B667FF">
        <w:rPr>
          <w:rFonts w:eastAsia="Times New Roman" w:cs="Times New Roman"/>
          <w:lang w:val="en-GB"/>
        </w:rPr>
        <w:t xml:space="preserve"> will have only a very limited potential exposure to litigation costs</w:t>
      </w:r>
      <w:r>
        <w:rPr>
          <w:rFonts w:eastAsia="Times New Roman" w:cs="Times New Roman"/>
          <w:lang w:val="en-GB"/>
        </w:rPr>
        <w:t xml:space="preserve">. </w:t>
      </w:r>
    </w:p>
    <w:p w14:paraId="29F9C978" w14:textId="77777777" w:rsidR="005013F7" w:rsidRDefault="005013F7" w:rsidP="00284A1A">
      <w:pPr>
        <w:jc w:val="both"/>
        <w:rPr>
          <w:rFonts w:eastAsia="Times New Roman" w:cs="Times New Roman"/>
          <w:lang w:val="en-GB"/>
        </w:rPr>
      </w:pPr>
    </w:p>
    <w:p w14:paraId="6EB2C274" w14:textId="1C3A4D7E" w:rsidR="005013F7" w:rsidRDefault="005013F7" w:rsidP="00284A1A">
      <w:pPr>
        <w:jc w:val="both"/>
        <w:rPr>
          <w:rFonts w:eastAsia="Times New Roman" w:cs="Times New Roman"/>
          <w:lang w:val="en-GB"/>
        </w:rPr>
      </w:pPr>
      <w:r>
        <w:rPr>
          <w:rFonts w:eastAsia="Times New Roman" w:cs="Times New Roman"/>
          <w:lang w:val="en-GB"/>
        </w:rPr>
        <w:t xml:space="preserve">36. </w:t>
      </w:r>
      <w:r w:rsidR="009A1815">
        <w:rPr>
          <w:rFonts w:eastAsia="Times New Roman" w:cs="Times New Roman"/>
          <w:lang w:val="en-GB"/>
        </w:rPr>
        <w:t>In any event t</w:t>
      </w:r>
      <w:r>
        <w:rPr>
          <w:rFonts w:eastAsia="Times New Roman" w:cs="Times New Roman"/>
          <w:lang w:val="en-GB"/>
        </w:rPr>
        <w:t xml:space="preserve">he game model does not appear to us capable of easy extension to non-medical cases even in other types of personal injury case e.g., road traffic cases, employers’ liability, and industrial disease. </w:t>
      </w:r>
    </w:p>
    <w:p w14:paraId="06DEBA13" w14:textId="77777777" w:rsidR="005013F7" w:rsidRDefault="005013F7" w:rsidP="00284A1A">
      <w:pPr>
        <w:jc w:val="both"/>
        <w:rPr>
          <w:rFonts w:eastAsia="Times New Roman" w:cs="Times New Roman"/>
          <w:lang w:val="en-GB"/>
        </w:rPr>
      </w:pPr>
    </w:p>
    <w:p w14:paraId="2C81B3E2" w14:textId="631EA207" w:rsidR="005013F7" w:rsidRDefault="005013F7" w:rsidP="00284A1A">
      <w:pPr>
        <w:jc w:val="both"/>
        <w:rPr>
          <w:rFonts w:eastAsia="Times New Roman" w:cs="Times New Roman"/>
          <w:lang w:val="en-GB"/>
        </w:rPr>
      </w:pPr>
      <w:r>
        <w:rPr>
          <w:rFonts w:eastAsia="Times New Roman" w:cs="Times New Roman"/>
          <w:lang w:val="en-GB"/>
        </w:rPr>
        <w:t xml:space="preserve">37. The quotation in paragraph 10 of the Financial Memorandum appears at pages 182-3 of the Ho and Lui article relied upon. In our view it has been taken out of context in the Memorandum. In the article it appears as part of the setting out of the authors’ “Conceptual Framework”. It is an explanation of the causal mechanism being postulated on the basis of a whole series of assumptions about the </w:t>
      </w:r>
      <w:r w:rsidR="009A1815">
        <w:rPr>
          <w:rFonts w:eastAsia="Times New Roman" w:cs="Times New Roman"/>
          <w:lang w:val="en-GB"/>
        </w:rPr>
        <w:t xml:space="preserve">specific </w:t>
      </w:r>
      <w:r>
        <w:rPr>
          <w:rFonts w:eastAsia="Times New Roman" w:cs="Times New Roman"/>
          <w:lang w:val="en-GB"/>
        </w:rPr>
        <w:t xml:space="preserve">economic game model being used. We do not read it as a general statement of fact relating to all claims: and would be surprised were the authors to support such a view.           </w:t>
      </w:r>
    </w:p>
    <w:p w14:paraId="1EF81D42" w14:textId="77777777" w:rsidR="00B707AA" w:rsidRDefault="00B707AA" w:rsidP="00284A1A">
      <w:pPr>
        <w:jc w:val="both"/>
        <w:rPr>
          <w:rFonts w:eastAsia="Times New Roman" w:cs="Times New Roman"/>
          <w:lang w:val="en-GB"/>
        </w:rPr>
      </w:pPr>
    </w:p>
    <w:p w14:paraId="6DC9B5C0" w14:textId="51A7B3BE" w:rsidR="00B707AA" w:rsidRDefault="005013F7" w:rsidP="00284A1A">
      <w:pPr>
        <w:jc w:val="both"/>
        <w:rPr>
          <w:rFonts w:eastAsia="Times New Roman" w:cs="Times New Roman"/>
          <w:lang w:val="en-GB"/>
        </w:rPr>
      </w:pPr>
      <w:r>
        <w:rPr>
          <w:rFonts w:eastAsia="Times New Roman" w:cs="Times New Roman"/>
          <w:lang w:val="en-GB"/>
        </w:rPr>
        <w:t>38</w:t>
      </w:r>
      <w:r w:rsidR="00F674D7">
        <w:rPr>
          <w:rFonts w:eastAsia="Times New Roman" w:cs="Times New Roman"/>
          <w:lang w:val="en-GB"/>
        </w:rPr>
        <w:t xml:space="preserve">. </w:t>
      </w:r>
      <w:r w:rsidR="00B707AA">
        <w:rPr>
          <w:rFonts w:eastAsia="Times New Roman" w:cs="Times New Roman"/>
          <w:lang w:val="en-GB"/>
        </w:rPr>
        <w:t xml:space="preserve">No mention is made in the Financial Memorandum of any impact that the apology provisions of Section 2 of the Compensation Act 2006 might have had either on the number of apologies issued or on the volume and cost of litigation in England and Wales. We are not aware of any evidence suggesting that the provision has had a substantial effect. </w:t>
      </w:r>
    </w:p>
    <w:p w14:paraId="10203742" w14:textId="77777777" w:rsidR="004D534E" w:rsidRDefault="004D534E" w:rsidP="00284A1A">
      <w:pPr>
        <w:jc w:val="both"/>
        <w:rPr>
          <w:rFonts w:eastAsia="Times New Roman" w:cs="Times New Roman"/>
          <w:lang w:val="en-GB"/>
        </w:rPr>
      </w:pPr>
    </w:p>
    <w:p w14:paraId="5EFEFD90" w14:textId="5ADD181C" w:rsidR="004D534E" w:rsidRDefault="005013F7" w:rsidP="00284A1A">
      <w:pPr>
        <w:jc w:val="both"/>
        <w:rPr>
          <w:rFonts w:eastAsia="Times New Roman" w:cs="Times New Roman"/>
          <w:lang w:val="en-GB"/>
        </w:rPr>
      </w:pPr>
      <w:r>
        <w:rPr>
          <w:rFonts w:eastAsia="Times New Roman" w:cs="Times New Roman"/>
          <w:lang w:val="en-GB"/>
        </w:rPr>
        <w:t>39</w:t>
      </w:r>
      <w:r w:rsidR="00F674D7">
        <w:rPr>
          <w:rFonts w:eastAsia="Times New Roman" w:cs="Times New Roman"/>
          <w:lang w:val="en-GB"/>
        </w:rPr>
        <w:t xml:space="preserve">. </w:t>
      </w:r>
      <w:r w:rsidR="004D534E">
        <w:rPr>
          <w:rFonts w:eastAsia="Times New Roman" w:cs="Times New Roman"/>
          <w:lang w:val="en-GB"/>
        </w:rPr>
        <w:t xml:space="preserve">It appears to the Faculty that despite the numerous jurisdictions (including 36 US states) that have adopted apologies legislation the Memorandum does not cite evidence of a clear and obvious general effect. The only evidence relied upon is from the US and </w:t>
      </w:r>
      <w:r w:rsidR="00F674D7">
        <w:rPr>
          <w:rFonts w:eastAsia="Times New Roman" w:cs="Times New Roman"/>
          <w:lang w:val="en-GB"/>
        </w:rPr>
        <w:t xml:space="preserve">is </w:t>
      </w:r>
      <w:r w:rsidR="004D534E">
        <w:rPr>
          <w:rFonts w:eastAsia="Times New Roman" w:cs="Times New Roman"/>
          <w:lang w:val="en-GB"/>
        </w:rPr>
        <w:t xml:space="preserve">either of doubtful relevance or </w:t>
      </w:r>
      <w:r w:rsidR="00F674D7">
        <w:rPr>
          <w:rFonts w:eastAsia="Times New Roman" w:cs="Times New Roman"/>
          <w:lang w:val="en-GB"/>
        </w:rPr>
        <w:t>is specific to</w:t>
      </w:r>
      <w:r w:rsidR="004D534E">
        <w:rPr>
          <w:rFonts w:eastAsia="Times New Roman" w:cs="Times New Roman"/>
          <w:lang w:val="en-GB"/>
        </w:rPr>
        <w:t xml:space="preserve"> private</w:t>
      </w:r>
      <w:r w:rsidR="00F674D7">
        <w:rPr>
          <w:rFonts w:eastAsia="Times New Roman" w:cs="Times New Roman"/>
          <w:lang w:val="en-GB"/>
        </w:rPr>
        <w:t xml:space="preserve"> US</w:t>
      </w:r>
      <w:r w:rsidR="004D534E">
        <w:rPr>
          <w:rFonts w:eastAsia="Times New Roman" w:cs="Times New Roman"/>
          <w:lang w:val="en-GB"/>
        </w:rPr>
        <w:t xml:space="preserve"> healthcare provision.</w:t>
      </w:r>
    </w:p>
    <w:p w14:paraId="0C316BBE" w14:textId="77777777" w:rsidR="004D534E" w:rsidRDefault="004D534E" w:rsidP="00284A1A">
      <w:pPr>
        <w:jc w:val="both"/>
        <w:rPr>
          <w:rFonts w:eastAsia="Times New Roman" w:cs="Times New Roman"/>
          <w:lang w:val="en-GB"/>
        </w:rPr>
      </w:pPr>
    </w:p>
    <w:p w14:paraId="3A4E5B55" w14:textId="77777777" w:rsidR="004D534E" w:rsidRDefault="004D534E" w:rsidP="00284A1A">
      <w:pPr>
        <w:jc w:val="both"/>
        <w:rPr>
          <w:rFonts w:eastAsia="Times New Roman" w:cs="Times New Roman"/>
          <w:lang w:val="en-GB"/>
        </w:rPr>
      </w:pPr>
    </w:p>
    <w:p w14:paraId="5234CCEF" w14:textId="77777777" w:rsidR="004D534E" w:rsidRDefault="004D534E" w:rsidP="00284A1A">
      <w:pPr>
        <w:jc w:val="both"/>
        <w:rPr>
          <w:rFonts w:eastAsia="Times New Roman" w:cs="Times New Roman"/>
          <w:lang w:val="en-GB"/>
        </w:rPr>
      </w:pPr>
    </w:p>
    <w:p w14:paraId="2F871F54" w14:textId="77777777" w:rsidR="00B707AA" w:rsidRDefault="00B707AA" w:rsidP="00284A1A">
      <w:pPr>
        <w:jc w:val="both"/>
        <w:rPr>
          <w:rFonts w:eastAsia="Times New Roman" w:cs="Times New Roman"/>
          <w:lang w:val="en-GB"/>
        </w:rPr>
      </w:pPr>
    </w:p>
    <w:p w14:paraId="06AFBE39" w14:textId="2164FD19" w:rsidR="00081F1B" w:rsidRPr="0082147F" w:rsidRDefault="004D534E" w:rsidP="00284A1A">
      <w:pPr>
        <w:jc w:val="both"/>
        <w:rPr>
          <w:rFonts w:eastAsia="Times New Roman" w:cs="Times New Roman"/>
          <w:b/>
          <w:lang w:val="en-GB"/>
        </w:rPr>
      </w:pPr>
      <w:r w:rsidRPr="0082147F">
        <w:rPr>
          <w:rFonts w:eastAsia="Times New Roman" w:cs="Times New Roman"/>
          <w:b/>
          <w:lang w:val="en-GB"/>
        </w:rPr>
        <w:t>APPENDIX</w:t>
      </w:r>
    </w:p>
    <w:p w14:paraId="1F2151F9" w14:textId="77777777" w:rsidR="00027461" w:rsidRDefault="00027461" w:rsidP="00284A1A">
      <w:pPr>
        <w:jc w:val="both"/>
        <w:rPr>
          <w:rFonts w:eastAsia="Times New Roman" w:cs="Times New Roman"/>
          <w:lang w:val="en-GB"/>
        </w:rPr>
      </w:pPr>
    </w:p>
    <w:p w14:paraId="5C5278F3" w14:textId="77777777" w:rsidR="00027461" w:rsidRDefault="00027461" w:rsidP="00284A1A">
      <w:pPr>
        <w:jc w:val="both"/>
        <w:rPr>
          <w:rFonts w:eastAsia="Times New Roman" w:cs="Times New Roman"/>
          <w:b/>
          <w:u w:val="single"/>
          <w:lang w:val="en-GB"/>
        </w:rPr>
      </w:pPr>
      <w:r w:rsidRPr="0082147F">
        <w:rPr>
          <w:rFonts w:eastAsia="Times New Roman" w:cs="Times New Roman"/>
          <w:b/>
          <w:u w:val="single"/>
          <w:lang w:val="en-GB"/>
        </w:rPr>
        <w:t>The Michigan Model</w:t>
      </w:r>
    </w:p>
    <w:p w14:paraId="418CBD73" w14:textId="77777777" w:rsidR="005013F7" w:rsidRPr="0082147F" w:rsidRDefault="005013F7" w:rsidP="00284A1A">
      <w:pPr>
        <w:jc w:val="both"/>
        <w:rPr>
          <w:rFonts w:eastAsia="Times New Roman" w:cs="Times New Roman"/>
          <w:b/>
          <w:u w:val="single"/>
          <w:lang w:val="en-GB"/>
        </w:rPr>
      </w:pPr>
    </w:p>
    <w:p w14:paraId="62F6E4A8" w14:textId="73563A9C" w:rsidR="009309AA" w:rsidRPr="00497139" w:rsidRDefault="001B464B" w:rsidP="00284A1A">
      <w:pPr>
        <w:jc w:val="both"/>
        <w:rPr>
          <w:rFonts w:eastAsia="Times New Roman" w:cs="Times New Roman"/>
          <w:i/>
          <w:lang w:val="en-GB"/>
        </w:rPr>
      </w:pPr>
      <w:r>
        <w:rPr>
          <w:rFonts w:eastAsia="Times New Roman" w:cs="Times New Roman"/>
          <w:lang w:val="en-GB"/>
        </w:rPr>
        <w:t xml:space="preserve">The Michigan Model is a voluntary system originating </w:t>
      </w:r>
      <w:r w:rsidR="00B4121A">
        <w:rPr>
          <w:rFonts w:eastAsia="Times New Roman" w:cs="Times New Roman"/>
          <w:lang w:val="en-GB"/>
        </w:rPr>
        <w:t>with</w:t>
      </w:r>
      <w:r w:rsidR="0014242C">
        <w:rPr>
          <w:rFonts w:eastAsia="Times New Roman" w:cs="Times New Roman"/>
          <w:lang w:val="en-GB"/>
        </w:rPr>
        <w:t xml:space="preserve"> the University of Michigan Health System, which has since</w:t>
      </w:r>
      <w:r>
        <w:rPr>
          <w:rFonts w:eastAsia="Times New Roman" w:cs="Times New Roman"/>
          <w:lang w:val="en-GB"/>
        </w:rPr>
        <w:t xml:space="preserve"> been adopted at a number of other </w:t>
      </w:r>
      <w:r w:rsidR="0014242C">
        <w:rPr>
          <w:rFonts w:eastAsia="Times New Roman" w:cs="Times New Roman"/>
          <w:lang w:val="en-GB"/>
        </w:rPr>
        <w:t xml:space="preserve">US </w:t>
      </w:r>
      <w:r>
        <w:rPr>
          <w:rFonts w:eastAsia="Times New Roman" w:cs="Times New Roman"/>
          <w:lang w:val="en-GB"/>
        </w:rPr>
        <w:t xml:space="preserve">hospitals. It </w:t>
      </w:r>
      <w:r w:rsidR="0014242C">
        <w:rPr>
          <w:rFonts w:eastAsia="Times New Roman" w:cs="Times New Roman"/>
          <w:lang w:val="en-GB"/>
        </w:rPr>
        <w:t>extends beyond a simple willingness to</w:t>
      </w:r>
      <w:r w:rsidR="00B4121A">
        <w:rPr>
          <w:rFonts w:eastAsia="Times New Roman" w:cs="Times New Roman"/>
          <w:lang w:val="en-GB"/>
        </w:rPr>
        <w:t xml:space="preserve"> apologise for adverse outcomes. It is explained in </w:t>
      </w:r>
      <w:r w:rsidR="009309AA">
        <w:rPr>
          <w:rFonts w:eastAsia="Times New Roman" w:cs="Times New Roman"/>
          <w:lang w:val="en-GB"/>
        </w:rPr>
        <w:t>the article cited in paragraph 9, footnote 6</w:t>
      </w:r>
      <w:r w:rsidR="00B4121A">
        <w:rPr>
          <w:rFonts w:eastAsia="Times New Roman" w:cs="Times New Roman"/>
          <w:lang w:val="en-GB"/>
        </w:rPr>
        <w:t>, of the Financial Memorandum:</w:t>
      </w:r>
      <w:r w:rsidR="0014242C">
        <w:rPr>
          <w:rFonts w:eastAsia="Times New Roman" w:cs="Times New Roman"/>
          <w:lang w:val="en-GB"/>
        </w:rPr>
        <w:t xml:space="preserve"> </w:t>
      </w:r>
      <w:r w:rsidR="009309AA" w:rsidRPr="00497139">
        <w:rPr>
          <w:rFonts w:eastAsia="Times New Roman" w:cs="Times New Roman"/>
          <w:i/>
          <w:lang w:val="en-GB"/>
        </w:rPr>
        <w:t xml:space="preserve">A Better Approach to Medical Malpractice Claims? </w:t>
      </w:r>
    </w:p>
    <w:p w14:paraId="34AEEDD4" w14:textId="77777777" w:rsidR="009309AA" w:rsidRPr="00497139" w:rsidRDefault="009309AA" w:rsidP="00284A1A">
      <w:pPr>
        <w:jc w:val="both"/>
        <w:rPr>
          <w:rFonts w:eastAsia="Times New Roman" w:cs="Times New Roman"/>
          <w:lang w:val="en-GB"/>
        </w:rPr>
      </w:pPr>
      <w:r w:rsidRPr="00497139">
        <w:rPr>
          <w:rFonts w:eastAsia="Times New Roman" w:cs="Times New Roman"/>
          <w:i/>
          <w:lang w:val="en-GB"/>
        </w:rPr>
        <w:t>The University of Michigan Experience</w:t>
      </w:r>
      <w:r w:rsidR="00497139">
        <w:rPr>
          <w:rFonts w:eastAsia="Times New Roman" w:cs="Times New Roman"/>
          <w:i/>
          <w:lang w:val="en-GB"/>
        </w:rPr>
        <w:t xml:space="preserve">, </w:t>
      </w:r>
      <w:r w:rsidR="00497139">
        <w:rPr>
          <w:rFonts w:eastAsia="Times New Roman" w:cs="Times New Roman"/>
          <w:lang w:val="en-GB"/>
        </w:rPr>
        <w:t>Journal of Health and Life Sciences Law, January 2009, Vol 2, No 2, page 143</w:t>
      </w:r>
    </w:p>
    <w:p w14:paraId="35E6ADF7" w14:textId="6EF2DF22" w:rsidR="00F308E9" w:rsidRDefault="000E4328" w:rsidP="00284A1A">
      <w:pPr>
        <w:jc w:val="both"/>
        <w:rPr>
          <w:rFonts w:eastAsia="Times New Roman" w:cs="Times New Roman"/>
          <w:lang w:val="en-GB"/>
        </w:rPr>
      </w:pPr>
      <w:hyperlink r:id="rId11" w:history="1">
        <w:r w:rsidR="0014242C" w:rsidRPr="00555582">
          <w:rPr>
            <w:rStyle w:val="Hyperlink"/>
            <w:rFonts w:eastAsia="Times New Roman" w:cs="Times New Roman"/>
            <w:lang w:val="en-GB"/>
          </w:rPr>
          <w:t>http://www.med.umich.edu/news/newsroom/Boothman%20et%20al.pdf</w:t>
        </w:r>
      </w:hyperlink>
      <w:r w:rsidR="00243CA0">
        <w:rPr>
          <w:rFonts w:eastAsia="Times New Roman" w:cs="Times New Roman"/>
          <w:lang w:val="en-GB"/>
        </w:rPr>
        <w:t xml:space="preserve">  </w:t>
      </w:r>
      <w:r w:rsidR="0094525B">
        <w:rPr>
          <w:rFonts w:eastAsia="Times New Roman" w:cs="Times New Roman"/>
          <w:lang w:val="en-GB"/>
        </w:rPr>
        <w:t xml:space="preserve">The article is by lawyers and doctors who devised and/or implement the Model. </w:t>
      </w:r>
      <w:r w:rsidR="00243CA0">
        <w:rPr>
          <w:rFonts w:eastAsia="Times New Roman" w:cs="Times New Roman"/>
          <w:lang w:val="en-GB"/>
        </w:rPr>
        <w:t xml:space="preserve">It appears from the article </w:t>
      </w:r>
      <w:r w:rsidR="0014242C">
        <w:rPr>
          <w:rFonts w:eastAsia="Times New Roman" w:cs="Times New Roman"/>
          <w:lang w:val="en-GB"/>
        </w:rPr>
        <w:t xml:space="preserve">that the success of the Model </w:t>
      </w:r>
      <w:r w:rsidR="00243CA0">
        <w:rPr>
          <w:rFonts w:eastAsia="Times New Roman" w:cs="Times New Roman"/>
          <w:lang w:val="en-GB"/>
        </w:rPr>
        <w:t xml:space="preserve">in reducing claims arises </w:t>
      </w:r>
      <w:r w:rsidR="00243CA0">
        <w:rPr>
          <w:rFonts w:eastAsia="Times New Roman" w:cs="Times New Roman"/>
          <w:lang w:val="en-GB"/>
        </w:rPr>
        <w:lastRenderedPageBreak/>
        <w:t xml:space="preserve">from its institutional risk management, </w:t>
      </w:r>
      <w:r w:rsidR="00F308E9">
        <w:rPr>
          <w:rFonts w:eastAsia="Times New Roman" w:cs="Times New Roman"/>
          <w:lang w:val="en-GB"/>
        </w:rPr>
        <w:t xml:space="preserve">policy of full disclosure, </w:t>
      </w:r>
      <w:r w:rsidR="0014242C">
        <w:rPr>
          <w:rFonts w:eastAsia="Times New Roman" w:cs="Times New Roman"/>
          <w:lang w:val="en-GB"/>
        </w:rPr>
        <w:t xml:space="preserve">claims handling </w:t>
      </w:r>
      <w:r w:rsidR="00243CA0">
        <w:rPr>
          <w:rFonts w:eastAsia="Times New Roman" w:cs="Times New Roman"/>
          <w:lang w:val="en-GB"/>
        </w:rPr>
        <w:t xml:space="preserve">and processes for improving patient care rather than </w:t>
      </w:r>
      <w:r w:rsidR="006B3C4B">
        <w:rPr>
          <w:rFonts w:eastAsia="Times New Roman" w:cs="Times New Roman"/>
          <w:lang w:val="en-GB"/>
        </w:rPr>
        <w:t xml:space="preserve">specifically </w:t>
      </w:r>
      <w:r w:rsidR="00243CA0">
        <w:rPr>
          <w:rFonts w:eastAsia="Times New Roman" w:cs="Times New Roman"/>
          <w:lang w:val="en-GB"/>
        </w:rPr>
        <w:t>from any practice of apology.</w:t>
      </w:r>
      <w:r w:rsidR="0014242C">
        <w:rPr>
          <w:rFonts w:eastAsia="Times New Roman" w:cs="Times New Roman"/>
          <w:lang w:val="en-GB"/>
        </w:rPr>
        <w:t xml:space="preserve"> </w:t>
      </w:r>
      <w:r w:rsidR="003B7590">
        <w:rPr>
          <w:rFonts w:eastAsia="Times New Roman" w:cs="Times New Roman"/>
          <w:lang w:val="en-GB"/>
        </w:rPr>
        <w:t xml:space="preserve">The </w:t>
      </w:r>
      <w:r w:rsidR="00B707AA">
        <w:rPr>
          <w:rFonts w:eastAsia="Times New Roman" w:cs="Times New Roman"/>
          <w:lang w:val="en-GB"/>
        </w:rPr>
        <w:t>Michigan state law claim</w:t>
      </w:r>
      <w:r w:rsidR="00F674D7">
        <w:rPr>
          <w:rFonts w:eastAsia="Times New Roman" w:cs="Times New Roman"/>
          <w:lang w:val="en-GB"/>
        </w:rPr>
        <w:t>s</w:t>
      </w:r>
      <w:r w:rsidR="00B707AA">
        <w:rPr>
          <w:rFonts w:eastAsia="Times New Roman" w:cs="Times New Roman"/>
          <w:lang w:val="en-GB"/>
        </w:rPr>
        <w:t xml:space="preserve"> procedures might also contribute </w:t>
      </w:r>
      <w:r w:rsidR="00F674D7">
        <w:rPr>
          <w:rFonts w:eastAsia="Times New Roman" w:cs="Times New Roman"/>
          <w:lang w:val="en-GB"/>
        </w:rPr>
        <w:t>materially</w:t>
      </w:r>
      <w:r w:rsidR="00B707AA">
        <w:rPr>
          <w:rFonts w:eastAsia="Times New Roman" w:cs="Times New Roman"/>
          <w:lang w:val="en-GB"/>
        </w:rPr>
        <w:t xml:space="preserve">. </w:t>
      </w:r>
      <w:r w:rsidR="00B4121A">
        <w:rPr>
          <w:rFonts w:eastAsia="Times New Roman" w:cs="Times New Roman"/>
          <w:lang w:val="en-GB"/>
        </w:rPr>
        <w:t>The article does not suggest that apologies are a significan</w:t>
      </w:r>
      <w:r w:rsidR="009309AA">
        <w:rPr>
          <w:rFonts w:eastAsia="Times New Roman" w:cs="Times New Roman"/>
          <w:lang w:val="en-GB"/>
        </w:rPr>
        <w:t>t factor in the decline in claims against the hospital</w:t>
      </w:r>
      <w:r w:rsidR="00B4121A">
        <w:rPr>
          <w:rFonts w:eastAsia="Times New Roman" w:cs="Times New Roman"/>
          <w:lang w:val="en-GB"/>
        </w:rPr>
        <w:t>: the word “apology” appears at pages 131, 132, 133, 142, 148, 157 and158 of the thirty-eight page article.</w:t>
      </w:r>
    </w:p>
    <w:p w14:paraId="6DACAF4D" w14:textId="77777777" w:rsidR="00AC733C" w:rsidRDefault="00AC733C" w:rsidP="00284A1A">
      <w:pPr>
        <w:jc w:val="both"/>
        <w:rPr>
          <w:rFonts w:eastAsia="Times New Roman" w:cs="Times New Roman"/>
          <w:lang w:val="en-GB"/>
        </w:rPr>
      </w:pPr>
    </w:p>
    <w:p w14:paraId="14CDFD42" w14:textId="77777777" w:rsidR="00AC733C" w:rsidRDefault="00AC733C" w:rsidP="00284A1A">
      <w:pPr>
        <w:jc w:val="both"/>
        <w:rPr>
          <w:rFonts w:eastAsia="Times New Roman" w:cs="Times New Roman"/>
          <w:lang w:val="en-GB"/>
        </w:rPr>
      </w:pPr>
      <w:r>
        <w:rPr>
          <w:rFonts w:eastAsia="Times New Roman" w:cs="Times New Roman"/>
          <w:lang w:val="en-GB"/>
        </w:rPr>
        <w:t>Paragraph 9 of the Fina</w:t>
      </w:r>
      <w:r w:rsidR="009619C4">
        <w:rPr>
          <w:rFonts w:eastAsia="Times New Roman" w:cs="Times New Roman"/>
          <w:lang w:val="en-GB"/>
        </w:rPr>
        <w:t>n</w:t>
      </w:r>
      <w:r>
        <w:rPr>
          <w:rFonts w:eastAsia="Times New Roman" w:cs="Times New Roman"/>
          <w:lang w:val="en-GB"/>
        </w:rPr>
        <w:t>cial Memorandum</w:t>
      </w:r>
      <w:r w:rsidR="009619C4">
        <w:rPr>
          <w:rFonts w:eastAsia="Times New Roman" w:cs="Times New Roman"/>
          <w:lang w:val="en-GB"/>
        </w:rPr>
        <w:t xml:space="preserve"> refers to evidence given by one of the Michigan Model administrators to a US Senate Committee:  </w:t>
      </w:r>
      <w:hyperlink r:id="rId12" w:history="1">
        <w:r w:rsidR="009619C4" w:rsidRPr="00555582">
          <w:rPr>
            <w:rStyle w:val="Hyperlink"/>
            <w:rFonts w:eastAsia="Times New Roman" w:cs="Times New Roman"/>
            <w:lang w:val="en-GB"/>
          </w:rPr>
          <w:t>http://www.help.senate.gov/imo/media/doc/boothman.pdf</w:t>
        </w:r>
      </w:hyperlink>
      <w:r w:rsidR="009619C4">
        <w:rPr>
          <w:rFonts w:eastAsia="Times New Roman" w:cs="Times New Roman"/>
          <w:lang w:val="en-GB"/>
        </w:rPr>
        <w:t xml:space="preserve">  Neither the word “apology” nor the word “apologies” appear</w:t>
      </w:r>
      <w:r w:rsidR="0056711A">
        <w:rPr>
          <w:rFonts w:eastAsia="Times New Roman" w:cs="Times New Roman"/>
          <w:lang w:val="en-GB"/>
        </w:rPr>
        <w:t>s</w:t>
      </w:r>
      <w:r w:rsidR="009619C4">
        <w:rPr>
          <w:rFonts w:eastAsia="Times New Roman" w:cs="Times New Roman"/>
          <w:lang w:val="en-GB"/>
        </w:rPr>
        <w:t xml:space="preserve"> in the testimony.</w:t>
      </w:r>
      <w:r>
        <w:rPr>
          <w:rFonts w:eastAsia="Times New Roman" w:cs="Times New Roman"/>
          <w:lang w:val="en-GB"/>
        </w:rPr>
        <w:t xml:space="preserve"> </w:t>
      </w:r>
    </w:p>
    <w:p w14:paraId="3D799030" w14:textId="77777777" w:rsidR="00497139" w:rsidRDefault="00497139" w:rsidP="00284A1A">
      <w:pPr>
        <w:jc w:val="both"/>
        <w:rPr>
          <w:rFonts w:eastAsia="Times New Roman" w:cs="Times New Roman"/>
          <w:lang w:val="en-GB"/>
        </w:rPr>
      </w:pPr>
    </w:p>
    <w:p w14:paraId="7B9D58A7" w14:textId="77777777" w:rsidR="00497139" w:rsidRDefault="00497139" w:rsidP="00284A1A">
      <w:pPr>
        <w:jc w:val="both"/>
        <w:rPr>
          <w:rStyle w:val="Hyperlink"/>
          <w:rFonts w:eastAsia="Times New Roman" w:cs="Times New Roman"/>
        </w:rPr>
      </w:pPr>
      <w:r>
        <w:rPr>
          <w:rFonts w:eastAsia="Times New Roman" w:cs="Times New Roman"/>
          <w:lang w:val="en-GB"/>
        </w:rPr>
        <w:t xml:space="preserve">The point is made on the University of Michigan Health System website: </w:t>
      </w:r>
      <w:r w:rsidR="00B4121A">
        <w:rPr>
          <w:rFonts w:eastAsia="Times New Roman" w:cs="Times New Roman"/>
          <w:lang w:val="en-GB"/>
        </w:rPr>
        <w:t xml:space="preserve"> </w:t>
      </w:r>
      <w:r>
        <w:rPr>
          <w:rFonts w:eastAsia="Times New Roman" w:cs="Times New Roman"/>
          <w:lang w:val="en-GB"/>
        </w:rPr>
        <w:t>“</w:t>
      </w:r>
      <w:r>
        <w:rPr>
          <w:rFonts w:eastAsia="Times New Roman" w:cs="Times New Roman"/>
        </w:rPr>
        <w:t xml:space="preserve">You may have heard something about our policy of “saying sorry”, or apologizing and having an open discussion, when clinical care does not go as planned. And while apologies are certainly part of our approach, there’s much more to it than that. Communication, full disclosure, and learning from our experiences are all vital.” </w:t>
      </w:r>
      <w:hyperlink r:id="rId13" w:anchor="summary" w:history="1">
        <w:r w:rsidRPr="00555582">
          <w:rPr>
            <w:rStyle w:val="Hyperlink"/>
            <w:rFonts w:eastAsia="Times New Roman" w:cs="Times New Roman"/>
          </w:rPr>
          <w:t>http://www.uofmhealth.org/michigan-model-medical-malpractice-and-patient-safety-umhs#summary</w:t>
        </w:r>
      </w:hyperlink>
    </w:p>
    <w:p w14:paraId="5E5EE8FD" w14:textId="77777777" w:rsidR="0094525B" w:rsidRDefault="0094525B" w:rsidP="00284A1A">
      <w:pPr>
        <w:jc w:val="both"/>
        <w:rPr>
          <w:rStyle w:val="Hyperlink"/>
          <w:rFonts w:eastAsia="Times New Roman" w:cs="Times New Roman"/>
        </w:rPr>
      </w:pPr>
    </w:p>
    <w:p w14:paraId="7A1D2885" w14:textId="19A26215" w:rsidR="0094525B" w:rsidRPr="001C1AE6" w:rsidRDefault="0094525B" w:rsidP="00284A1A">
      <w:pPr>
        <w:jc w:val="both"/>
        <w:rPr>
          <w:rFonts w:eastAsia="Times New Roman" w:cs="Times New Roman"/>
          <w:lang w:val="en-GB"/>
        </w:rPr>
      </w:pPr>
      <w:r w:rsidRPr="00EE23B8">
        <w:rPr>
          <w:rStyle w:val="Hyperlink"/>
          <w:rFonts w:eastAsia="Times New Roman" w:cs="Times New Roman"/>
          <w:color w:val="000000" w:themeColor="text1"/>
          <w:u w:val="none"/>
        </w:rPr>
        <w:t>Michigan has an apology law but the Bills’ supporting documents do not give any obvious indication as to how that law works in conjunction with the Model.</w:t>
      </w:r>
      <w:r w:rsidR="00DB3099">
        <w:rPr>
          <w:rStyle w:val="Hyperlink"/>
          <w:rFonts w:eastAsia="Times New Roman" w:cs="Times New Roman"/>
        </w:rPr>
        <w:t xml:space="preserve"> </w:t>
      </w:r>
      <w:r w:rsidR="00DB3099">
        <w:rPr>
          <w:rFonts w:eastAsia="Times New Roman" w:cs="Times New Roman"/>
          <w:lang w:val="en-GB"/>
        </w:rPr>
        <w:t xml:space="preserve">It is our impression from the supporting documents that the Model includes the healthcare institution making early admissions of fault in appropriate cases.  </w:t>
      </w:r>
      <w:r w:rsidR="00B707AA">
        <w:rPr>
          <w:rFonts w:eastAsia="Times New Roman" w:cs="Times New Roman"/>
          <w:lang w:val="en-GB"/>
        </w:rPr>
        <w:t>The supporting materials do not include anything indicating that the Michigan Model relies to any extent on the non-admissibility of apologies.</w:t>
      </w:r>
    </w:p>
    <w:p w14:paraId="4BA864C3" w14:textId="77777777" w:rsidR="00B4121A" w:rsidRDefault="00B4121A" w:rsidP="00284A1A">
      <w:pPr>
        <w:jc w:val="both"/>
        <w:rPr>
          <w:rFonts w:eastAsia="Times New Roman" w:cs="Times New Roman"/>
          <w:lang w:val="en-GB"/>
        </w:rPr>
      </w:pPr>
    </w:p>
    <w:p w14:paraId="1533B654" w14:textId="77777777" w:rsidR="00CF3F4C" w:rsidRDefault="00CF3F4C" w:rsidP="00284A1A">
      <w:pPr>
        <w:jc w:val="both"/>
        <w:rPr>
          <w:rFonts w:eastAsia="Times New Roman" w:cs="Times New Roman"/>
          <w:u w:val="single"/>
          <w:lang w:val="en-GB"/>
        </w:rPr>
      </w:pPr>
    </w:p>
    <w:p w14:paraId="7BE65E53" w14:textId="77777777" w:rsidR="00CF3F4C" w:rsidRPr="0082147F" w:rsidRDefault="00C33D5B" w:rsidP="00284A1A">
      <w:pPr>
        <w:jc w:val="both"/>
        <w:rPr>
          <w:rFonts w:eastAsia="Times New Roman" w:cs="Times New Roman"/>
          <w:b/>
          <w:u w:val="single"/>
          <w:lang w:val="en-GB"/>
        </w:rPr>
      </w:pPr>
      <w:r w:rsidRPr="0082147F">
        <w:rPr>
          <w:rFonts w:eastAsia="Times New Roman" w:cs="Times New Roman"/>
          <w:b/>
          <w:u w:val="single"/>
          <w:lang w:val="en-GB"/>
        </w:rPr>
        <w:t xml:space="preserve">Ho and Lui </w:t>
      </w:r>
    </w:p>
    <w:p w14:paraId="4FBD7DA1" w14:textId="77777777" w:rsidR="00CF3E0E" w:rsidRDefault="0056711A" w:rsidP="00284A1A">
      <w:pPr>
        <w:jc w:val="both"/>
        <w:rPr>
          <w:rFonts w:eastAsia="Times New Roman" w:cs="Times New Roman"/>
          <w:lang w:val="en-GB"/>
        </w:rPr>
      </w:pPr>
      <w:r>
        <w:rPr>
          <w:rFonts w:eastAsia="Times New Roman" w:cs="Times New Roman"/>
          <w:lang w:val="en-GB"/>
        </w:rPr>
        <w:t xml:space="preserve">Paragraph 10 of the Financial Memorandum </w:t>
      </w:r>
      <w:r w:rsidR="00EB3BB7">
        <w:rPr>
          <w:rFonts w:eastAsia="Times New Roman" w:cs="Times New Roman"/>
          <w:lang w:val="en-GB"/>
        </w:rPr>
        <w:t>appears to cite</w:t>
      </w:r>
      <w:r>
        <w:rPr>
          <w:rFonts w:eastAsia="Times New Roman" w:cs="Times New Roman"/>
          <w:lang w:val="en-GB"/>
        </w:rPr>
        <w:t xml:space="preserve"> two papers by Ho and Lui published in the Journal of Empirical Legal Studies</w:t>
      </w:r>
      <w:r w:rsidR="00C33D5B">
        <w:rPr>
          <w:rFonts w:eastAsia="Times New Roman" w:cs="Times New Roman"/>
          <w:lang w:val="en-GB"/>
        </w:rPr>
        <w:t>. However t</w:t>
      </w:r>
      <w:r w:rsidR="00EB3BB7">
        <w:rPr>
          <w:rFonts w:eastAsia="Times New Roman" w:cs="Times New Roman"/>
          <w:lang w:val="en-GB"/>
        </w:rPr>
        <w:t xml:space="preserve">he citations in footnotes 7 and 8 are both incorrect. The quotation is from Ho and Lui, </w:t>
      </w:r>
      <w:r w:rsidR="00EB3BB7" w:rsidRPr="00C33D5B">
        <w:rPr>
          <w:rFonts w:eastAsia="Times New Roman" w:cs="Times New Roman"/>
          <w:i/>
          <w:lang w:val="en-GB"/>
        </w:rPr>
        <w:t>What’s an Apology Worth? Decomposing the Effect of Apologies on Medical Malpractice Payments Using State Apology Laws</w:t>
      </w:r>
      <w:r w:rsidR="00EB3BB7">
        <w:rPr>
          <w:rFonts w:eastAsia="Times New Roman" w:cs="Times New Roman"/>
          <w:lang w:val="en-GB"/>
        </w:rPr>
        <w:t>, Journal of Empirical Legal Studies, Vol 8, Issue S1, 179-199, December 2011.</w:t>
      </w:r>
    </w:p>
    <w:p w14:paraId="33895D7C" w14:textId="77777777" w:rsidR="00CF3E0E" w:rsidRDefault="00CF3E0E" w:rsidP="00284A1A">
      <w:pPr>
        <w:jc w:val="both"/>
        <w:rPr>
          <w:rFonts w:eastAsia="Times New Roman" w:cs="Times New Roman"/>
          <w:lang w:val="en-GB"/>
        </w:rPr>
      </w:pPr>
    </w:p>
    <w:p w14:paraId="7A715C6C" w14:textId="0AB6F599" w:rsidR="00CF3E0E" w:rsidRDefault="00E97E57" w:rsidP="00284A1A">
      <w:pPr>
        <w:jc w:val="both"/>
        <w:rPr>
          <w:rFonts w:eastAsia="Times New Roman" w:cs="Times New Roman"/>
          <w:lang w:val="en-GB"/>
        </w:rPr>
      </w:pPr>
      <w:r>
        <w:rPr>
          <w:rFonts w:eastAsia="Times New Roman" w:cs="Times New Roman"/>
          <w:lang w:val="en-GB"/>
        </w:rPr>
        <w:t>There is a slightly earlier paper</w:t>
      </w:r>
      <w:r w:rsidR="00CF3E0E">
        <w:rPr>
          <w:rFonts w:eastAsia="Times New Roman" w:cs="Times New Roman"/>
          <w:lang w:val="en-GB"/>
        </w:rPr>
        <w:t xml:space="preserve"> than that quoted from</w:t>
      </w:r>
      <w:r>
        <w:rPr>
          <w:rFonts w:eastAsia="Times New Roman" w:cs="Times New Roman"/>
          <w:lang w:val="en-GB"/>
        </w:rPr>
        <w:t xml:space="preserve"> by the same authors, </w:t>
      </w:r>
      <w:r w:rsidRPr="00E97E57">
        <w:rPr>
          <w:rFonts w:eastAsia="Times New Roman" w:cs="Times New Roman"/>
          <w:i/>
          <w:lang w:val="en-GB"/>
        </w:rPr>
        <w:t>Does Sorry Work? The Impact of Apology Laws on Medical Malpractice</w:t>
      </w:r>
      <w:r>
        <w:rPr>
          <w:rFonts w:eastAsia="Times New Roman" w:cs="Times New Roman"/>
          <w:lang w:val="en-GB"/>
        </w:rPr>
        <w:t>, (2011) 43(2) J. of Risk &amp; Uncertainty 141.</w:t>
      </w:r>
      <w:r w:rsidR="00DB3099">
        <w:rPr>
          <w:rFonts w:eastAsia="Times New Roman" w:cs="Times New Roman"/>
          <w:lang w:val="en-GB"/>
        </w:rPr>
        <w:t xml:space="preserve"> The earlier paper might be of greater assistance for present purposes as it considers apology as a factor in </w:t>
      </w:r>
      <w:r w:rsidR="00AC6C22">
        <w:rPr>
          <w:rFonts w:eastAsia="Times New Roman" w:cs="Times New Roman"/>
          <w:lang w:val="en-GB"/>
        </w:rPr>
        <w:t xml:space="preserve">a </w:t>
      </w:r>
      <w:r w:rsidR="00DB3099">
        <w:rPr>
          <w:rFonts w:eastAsia="Times New Roman" w:cs="Times New Roman"/>
          <w:lang w:val="en-GB"/>
        </w:rPr>
        <w:t>patient’s decision to sue their doctor.</w:t>
      </w:r>
      <w:r w:rsidR="00885AE3">
        <w:rPr>
          <w:rFonts w:eastAsia="Times New Roman" w:cs="Times New Roman"/>
          <w:lang w:val="en-GB"/>
        </w:rPr>
        <w:t xml:space="preserve"> It claims to be the first economic study to investigate the impact of State-level apology legislation on claim frequency and claim </w:t>
      </w:r>
      <w:r w:rsidR="00AC6C22">
        <w:rPr>
          <w:rFonts w:eastAsia="Times New Roman" w:cs="Times New Roman"/>
          <w:lang w:val="en-GB"/>
        </w:rPr>
        <w:t>“</w:t>
      </w:r>
      <w:r w:rsidR="00885AE3">
        <w:rPr>
          <w:rFonts w:eastAsia="Times New Roman" w:cs="Times New Roman"/>
          <w:lang w:val="en-GB"/>
        </w:rPr>
        <w:t>severity</w:t>
      </w:r>
      <w:r w:rsidR="00AC6C22">
        <w:rPr>
          <w:rFonts w:eastAsia="Times New Roman" w:cs="Times New Roman"/>
          <w:lang w:val="en-GB"/>
        </w:rPr>
        <w:t>”</w:t>
      </w:r>
      <w:r w:rsidR="00DB3099">
        <w:rPr>
          <w:rFonts w:eastAsia="Times New Roman" w:cs="Times New Roman"/>
          <w:lang w:val="en-GB"/>
        </w:rPr>
        <w:t>.</w:t>
      </w:r>
      <w:r w:rsidR="00885AE3">
        <w:rPr>
          <w:rFonts w:eastAsia="Times New Roman" w:cs="Times New Roman"/>
          <w:lang w:val="en-GB"/>
        </w:rPr>
        <w:t xml:space="preserve"> It makes the point that findings associated with hospital-level apology programmes (including the Michigan Model) are of uncertain “generalizability”.</w:t>
      </w:r>
      <w:r w:rsidR="00CF3E0E">
        <w:rPr>
          <w:rFonts w:eastAsia="Times New Roman" w:cs="Times New Roman"/>
          <w:lang w:val="en-GB"/>
        </w:rPr>
        <w:t xml:space="preserve"> The paper concludes that the US state apology laws’ combined effect is to increase apologies and decrease expected settlement time, and over the long-term should speed up settlements and reduce the total number and value of malpractice payments. </w:t>
      </w:r>
      <w:r w:rsidR="005013F7">
        <w:rPr>
          <w:rFonts w:eastAsia="Times New Roman" w:cs="Times New Roman"/>
          <w:lang w:val="en-GB"/>
        </w:rPr>
        <w:t>R</w:t>
      </w:r>
      <w:r w:rsidR="00CF3E0E">
        <w:rPr>
          <w:rFonts w:eastAsia="Times New Roman" w:cs="Times New Roman"/>
          <w:lang w:val="en-GB"/>
        </w:rPr>
        <w:t>educed payments are good for payers (here doctors) but less obviously so for payees (patients</w:t>
      </w:r>
      <w:r w:rsidR="005013F7">
        <w:rPr>
          <w:rFonts w:eastAsia="Times New Roman" w:cs="Times New Roman"/>
          <w:lang w:val="en-GB"/>
        </w:rPr>
        <w:t>)</w:t>
      </w:r>
    </w:p>
    <w:p w14:paraId="69F3937E" w14:textId="77777777" w:rsidR="00CF3E0E" w:rsidRDefault="00CF3E0E" w:rsidP="00284A1A">
      <w:pPr>
        <w:jc w:val="both"/>
        <w:rPr>
          <w:rFonts w:eastAsia="Times New Roman" w:cs="Times New Roman"/>
          <w:lang w:val="en-GB"/>
        </w:rPr>
      </w:pPr>
    </w:p>
    <w:p w14:paraId="275BF930" w14:textId="698799AC" w:rsidR="00715273" w:rsidRDefault="00A41C1B" w:rsidP="00284A1A">
      <w:pPr>
        <w:jc w:val="both"/>
        <w:rPr>
          <w:rFonts w:eastAsia="Times New Roman" w:cs="Times New Roman"/>
          <w:lang w:val="en-GB"/>
        </w:rPr>
      </w:pPr>
      <w:r>
        <w:rPr>
          <w:rFonts w:eastAsia="Times New Roman" w:cs="Times New Roman"/>
          <w:lang w:val="en-GB"/>
        </w:rPr>
        <w:t xml:space="preserve">The </w:t>
      </w:r>
      <w:r w:rsidR="00C14F58">
        <w:rPr>
          <w:rFonts w:eastAsia="Times New Roman" w:cs="Times New Roman"/>
          <w:lang w:val="en-GB"/>
        </w:rPr>
        <w:t xml:space="preserve">authors’ </w:t>
      </w:r>
      <w:r w:rsidR="00715273">
        <w:rPr>
          <w:rFonts w:eastAsia="Times New Roman" w:cs="Times New Roman"/>
          <w:lang w:val="en-GB"/>
        </w:rPr>
        <w:t>analysi</w:t>
      </w:r>
      <w:r>
        <w:rPr>
          <w:rFonts w:eastAsia="Times New Roman" w:cs="Times New Roman"/>
          <w:lang w:val="en-GB"/>
        </w:rPr>
        <w:t>s proceeds on the b</w:t>
      </w:r>
      <w:r w:rsidR="00C14F58">
        <w:rPr>
          <w:rFonts w:eastAsia="Times New Roman" w:cs="Times New Roman"/>
          <w:lang w:val="en-GB"/>
        </w:rPr>
        <w:t>asis of an initially simple</w:t>
      </w:r>
      <w:r>
        <w:rPr>
          <w:rFonts w:eastAsia="Times New Roman" w:cs="Times New Roman"/>
          <w:lang w:val="en-GB"/>
        </w:rPr>
        <w:t xml:space="preserve"> Games Theory economic model: “healthcare provision, apology, and litigation”. </w:t>
      </w:r>
      <w:r w:rsidR="00AC6C22">
        <w:rPr>
          <w:rFonts w:eastAsia="Times New Roman" w:cs="Times New Roman"/>
          <w:lang w:val="en-GB"/>
        </w:rPr>
        <w:t xml:space="preserve">Layers of complexity are then added. </w:t>
      </w:r>
      <w:r w:rsidR="005013F7">
        <w:rPr>
          <w:rFonts w:eastAsia="Times New Roman" w:cs="Times New Roman"/>
          <w:lang w:val="en-GB"/>
        </w:rPr>
        <w:t>The</w:t>
      </w:r>
      <w:r>
        <w:rPr>
          <w:rFonts w:eastAsia="Times New Roman" w:cs="Times New Roman"/>
          <w:lang w:val="en-GB"/>
        </w:rPr>
        <w:t xml:space="preserve"> </w:t>
      </w:r>
      <w:r w:rsidR="00C14F58">
        <w:rPr>
          <w:rFonts w:eastAsia="Times New Roman" w:cs="Times New Roman"/>
          <w:lang w:val="en-GB"/>
        </w:rPr>
        <w:t xml:space="preserve">game </w:t>
      </w:r>
      <w:r>
        <w:rPr>
          <w:rFonts w:eastAsia="Times New Roman" w:cs="Times New Roman"/>
          <w:lang w:val="en-GB"/>
        </w:rPr>
        <w:t>model assumes an individual doctor who requires to make any payment arising from a claim (or, presumably, wh</w:t>
      </w:r>
      <w:r w:rsidR="00C14F58">
        <w:rPr>
          <w:rFonts w:eastAsia="Times New Roman" w:cs="Times New Roman"/>
          <w:lang w:val="en-GB"/>
        </w:rPr>
        <w:t>ose malpractice insurer require</w:t>
      </w:r>
      <w:r w:rsidR="00CF3E0E">
        <w:rPr>
          <w:rFonts w:eastAsia="Times New Roman" w:cs="Times New Roman"/>
          <w:lang w:val="en-GB"/>
        </w:rPr>
        <w:t>s</w:t>
      </w:r>
      <w:r>
        <w:rPr>
          <w:rFonts w:eastAsia="Times New Roman" w:cs="Times New Roman"/>
          <w:lang w:val="en-GB"/>
        </w:rPr>
        <w:t xml:space="preserve"> to do so, subject to any uninsured excess)</w:t>
      </w:r>
      <w:r w:rsidR="00C14F58">
        <w:rPr>
          <w:rFonts w:eastAsia="Times New Roman" w:cs="Times New Roman"/>
          <w:lang w:val="en-GB"/>
        </w:rPr>
        <w:t xml:space="preserve">. </w:t>
      </w:r>
      <w:r>
        <w:rPr>
          <w:rFonts w:eastAsia="Times New Roman" w:cs="Times New Roman"/>
          <w:lang w:val="en-GB"/>
        </w:rPr>
        <w:t xml:space="preserve">The claims payment data the authors use does not include payments made by healthcare institutions. </w:t>
      </w:r>
    </w:p>
    <w:p w14:paraId="0E73683A" w14:textId="77777777" w:rsidR="00AC6C22" w:rsidRDefault="00AC6C22" w:rsidP="00284A1A">
      <w:pPr>
        <w:jc w:val="both"/>
        <w:rPr>
          <w:rFonts w:eastAsia="Times New Roman" w:cs="Times New Roman"/>
          <w:lang w:val="en-GB"/>
        </w:rPr>
      </w:pPr>
    </w:p>
    <w:p w14:paraId="7C723EFA" w14:textId="23497B20" w:rsidR="00DD7496" w:rsidRDefault="00715273" w:rsidP="00284A1A">
      <w:pPr>
        <w:jc w:val="both"/>
        <w:rPr>
          <w:rFonts w:eastAsia="Times New Roman" w:cs="Times New Roman"/>
          <w:lang w:val="en-GB"/>
        </w:rPr>
      </w:pPr>
      <w:r>
        <w:rPr>
          <w:rFonts w:eastAsia="Times New Roman" w:cs="Times New Roman"/>
          <w:lang w:val="en-GB"/>
        </w:rPr>
        <w:t>The later Ho and Lui paper quoted by the Fina</w:t>
      </w:r>
      <w:r w:rsidR="00DD7496">
        <w:rPr>
          <w:rFonts w:eastAsia="Times New Roman" w:cs="Times New Roman"/>
          <w:lang w:val="en-GB"/>
        </w:rPr>
        <w:t>n</w:t>
      </w:r>
      <w:r>
        <w:rPr>
          <w:rFonts w:eastAsia="Times New Roman" w:cs="Times New Roman"/>
          <w:lang w:val="en-GB"/>
        </w:rPr>
        <w:t xml:space="preserve">cial Memorandum uses the same data set and the same economic game model. </w:t>
      </w:r>
      <w:r w:rsidR="00DD7496">
        <w:rPr>
          <w:rFonts w:eastAsia="Times New Roman" w:cs="Times New Roman"/>
          <w:lang w:val="en-GB"/>
        </w:rPr>
        <w:t>The point of the study i</w:t>
      </w:r>
      <w:r w:rsidR="00560425">
        <w:rPr>
          <w:rFonts w:eastAsia="Times New Roman" w:cs="Times New Roman"/>
          <w:lang w:val="en-GB"/>
        </w:rPr>
        <w:t xml:space="preserve">s to seek to quantify how the value of an apology in medical malpractice litigation depends on the characteristics of the case. </w:t>
      </w:r>
      <w:r w:rsidR="00DD7496">
        <w:rPr>
          <w:rFonts w:eastAsia="Times New Roman" w:cs="Times New Roman"/>
          <w:lang w:val="en-GB"/>
        </w:rPr>
        <w:t xml:space="preserve">The authors look at instances where claims and payments have been made: their data does not include cases where a claim has been made but no payment made. </w:t>
      </w:r>
      <w:r w:rsidR="00560425">
        <w:rPr>
          <w:rFonts w:eastAsia="Times New Roman" w:cs="Times New Roman"/>
          <w:lang w:val="en-GB"/>
        </w:rPr>
        <w:t xml:space="preserve">The overall finding is that the passage of an apology law accounts for a $32,342 (12.8 per cent) decrease in the size of malpractice payments. But </w:t>
      </w:r>
      <w:r w:rsidR="00DD7496">
        <w:rPr>
          <w:rFonts w:eastAsia="Times New Roman" w:cs="Times New Roman"/>
          <w:lang w:val="en-GB"/>
        </w:rPr>
        <w:t>the effect is concentrated e.g., on cases involving obstetrics and anaesthesia, infants and male patients. There therefore appears to be a gender and age bias: the payments made to the young and to males are disproportionately reduced.</w:t>
      </w:r>
    </w:p>
    <w:p w14:paraId="45E6E8B8" w14:textId="77777777" w:rsidR="00DD7496" w:rsidRDefault="00DD7496" w:rsidP="00284A1A">
      <w:pPr>
        <w:jc w:val="both"/>
        <w:rPr>
          <w:rFonts w:eastAsia="Times New Roman" w:cs="Times New Roman"/>
          <w:lang w:val="en-GB"/>
        </w:rPr>
      </w:pPr>
    </w:p>
    <w:p w14:paraId="11D7C7EB" w14:textId="4637C8AB" w:rsidR="00FB4B88" w:rsidRDefault="00FB4B88" w:rsidP="00284A1A">
      <w:pPr>
        <w:jc w:val="both"/>
        <w:rPr>
          <w:rFonts w:eastAsia="Times New Roman" w:cs="Times New Roman"/>
          <w:lang w:val="en-GB"/>
        </w:rPr>
      </w:pPr>
    </w:p>
    <w:p w14:paraId="615FBABC" w14:textId="77777777" w:rsidR="00081F1B" w:rsidRDefault="00081F1B" w:rsidP="00284A1A">
      <w:pPr>
        <w:jc w:val="both"/>
        <w:rPr>
          <w:rFonts w:eastAsia="Times New Roman" w:cs="Times New Roman"/>
          <w:lang w:val="en-GB"/>
        </w:rPr>
      </w:pPr>
    </w:p>
    <w:p w14:paraId="7A37FBC4" w14:textId="77777777" w:rsidR="00081F1B" w:rsidRPr="00D44088" w:rsidRDefault="00081F1B" w:rsidP="00284A1A">
      <w:pPr>
        <w:jc w:val="both"/>
      </w:pPr>
    </w:p>
    <w:sectPr w:rsidR="00081F1B" w:rsidRPr="00D44088" w:rsidSect="00284A1A">
      <w:headerReference w:type="default" r:id="rId14"/>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6FAC5" w14:textId="77777777" w:rsidR="00407B2A" w:rsidRDefault="00407B2A" w:rsidP="00284A1A">
      <w:r>
        <w:separator/>
      </w:r>
    </w:p>
  </w:endnote>
  <w:endnote w:type="continuationSeparator" w:id="0">
    <w:p w14:paraId="55D88A18" w14:textId="77777777" w:rsidR="00407B2A" w:rsidRDefault="00407B2A" w:rsidP="0028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C2E6" w14:textId="2CB4D5F2" w:rsidR="00407B2A" w:rsidRDefault="00407B2A" w:rsidP="00284A1A">
    <w:pPr>
      <w:pStyle w:val="Footer"/>
      <w:jc w:val="center"/>
    </w:pPr>
    <w:r>
      <w:rPr>
        <w:rFonts w:ascii="Sylfaen" w:hAnsi="Sylfaen"/>
        <w:sz w:val="20"/>
        <w:szCs w:val="20"/>
      </w:rPr>
      <w:t>ADVOCATES LIBRARY    PARLIAMENT HOUSE    EDINBURGH   EH1 1RF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46165" w14:textId="77777777" w:rsidR="00407B2A" w:rsidRDefault="00407B2A" w:rsidP="00284A1A">
      <w:r>
        <w:separator/>
      </w:r>
    </w:p>
  </w:footnote>
  <w:footnote w:type="continuationSeparator" w:id="0">
    <w:p w14:paraId="095B0B99" w14:textId="77777777" w:rsidR="00407B2A" w:rsidRDefault="00407B2A" w:rsidP="00284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EBC4C" w14:textId="0DE4B058" w:rsidR="00407B2A" w:rsidRPr="00346F01" w:rsidRDefault="00407B2A" w:rsidP="00284A1A">
    <w:pPr>
      <w:pStyle w:val="Header"/>
      <w:jc w:val="center"/>
      <w:rPr>
        <w:rFonts w:ascii="Sylfaen" w:hAnsi="Sylfaen"/>
        <w:sz w:val="36"/>
        <w:szCs w:val="36"/>
      </w:rPr>
    </w:pPr>
    <w:r>
      <w:rPr>
        <w:rFonts w:ascii="Sylfaen" w:hAnsi="Sylfaen"/>
        <w:noProof/>
        <w:sz w:val="36"/>
        <w:szCs w:val="36"/>
        <w:lang w:val="en-GB" w:eastAsia="en-GB"/>
      </w:rPr>
      <w:drawing>
        <wp:inline distT="0" distB="0" distL="0" distR="0" wp14:anchorId="72594D13" wp14:editId="44691202">
          <wp:extent cx="883920" cy="1173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1173480"/>
                  </a:xfrm>
                  <a:prstGeom prst="rect">
                    <a:avLst/>
                  </a:prstGeom>
                  <a:solidFill>
                    <a:srgbClr val="800000"/>
                  </a:solidFill>
                  <a:ln>
                    <a:noFill/>
                  </a:ln>
                </pic:spPr>
              </pic:pic>
            </a:graphicData>
          </a:graphic>
        </wp:inline>
      </w:drawing>
    </w:r>
  </w:p>
  <w:p w14:paraId="2E28771D" w14:textId="6FBAAD1D" w:rsidR="00407B2A" w:rsidRDefault="00407B2A" w:rsidP="00284A1A">
    <w:pPr>
      <w:pStyle w:val="Header"/>
      <w:jc w:val="center"/>
    </w:pPr>
    <w:r w:rsidRPr="007D5B89">
      <w:rPr>
        <w:rFonts w:ascii="Sylfaen" w:hAnsi="Sylfaen"/>
        <w:sz w:val="44"/>
        <w:szCs w:val="44"/>
      </w:rPr>
      <w:t>FACULTY OF ADVOCATES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6BD8" w14:textId="7C697E03" w:rsidR="00407B2A" w:rsidRPr="00284A1A" w:rsidRDefault="00407B2A" w:rsidP="00284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BD"/>
    <w:rsid w:val="00000E5A"/>
    <w:rsid w:val="00027461"/>
    <w:rsid w:val="00067978"/>
    <w:rsid w:val="00081F1B"/>
    <w:rsid w:val="000E4328"/>
    <w:rsid w:val="0014242C"/>
    <w:rsid w:val="00166E23"/>
    <w:rsid w:val="0017569A"/>
    <w:rsid w:val="00193678"/>
    <w:rsid w:val="001B1475"/>
    <w:rsid w:val="001B464B"/>
    <w:rsid w:val="001C1AE6"/>
    <w:rsid w:val="001F36BC"/>
    <w:rsid w:val="00224A34"/>
    <w:rsid w:val="00243CA0"/>
    <w:rsid w:val="002443D9"/>
    <w:rsid w:val="00284A1A"/>
    <w:rsid w:val="002E75DE"/>
    <w:rsid w:val="00320585"/>
    <w:rsid w:val="0038161F"/>
    <w:rsid w:val="003B7590"/>
    <w:rsid w:val="003D39AF"/>
    <w:rsid w:val="00407B2A"/>
    <w:rsid w:val="004778F5"/>
    <w:rsid w:val="00497139"/>
    <w:rsid w:val="004A4B06"/>
    <w:rsid w:val="004D534E"/>
    <w:rsid w:val="005013F7"/>
    <w:rsid w:val="00560425"/>
    <w:rsid w:val="0056711A"/>
    <w:rsid w:val="006058BF"/>
    <w:rsid w:val="006223BD"/>
    <w:rsid w:val="00652F3C"/>
    <w:rsid w:val="006712A1"/>
    <w:rsid w:val="006B2810"/>
    <w:rsid w:val="006B3C4B"/>
    <w:rsid w:val="006D1D27"/>
    <w:rsid w:val="00705BD6"/>
    <w:rsid w:val="00715273"/>
    <w:rsid w:val="00736AA3"/>
    <w:rsid w:val="00766A25"/>
    <w:rsid w:val="007B2A6A"/>
    <w:rsid w:val="00801BD8"/>
    <w:rsid w:val="00807865"/>
    <w:rsid w:val="0082147F"/>
    <w:rsid w:val="00885AE3"/>
    <w:rsid w:val="008A3C36"/>
    <w:rsid w:val="008E1CAC"/>
    <w:rsid w:val="009309AA"/>
    <w:rsid w:val="0094525B"/>
    <w:rsid w:val="009619C4"/>
    <w:rsid w:val="009A1815"/>
    <w:rsid w:val="00A0763A"/>
    <w:rsid w:val="00A2759A"/>
    <w:rsid w:val="00A41C1B"/>
    <w:rsid w:val="00A44004"/>
    <w:rsid w:val="00A670AE"/>
    <w:rsid w:val="00AC6C22"/>
    <w:rsid w:val="00AC733C"/>
    <w:rsid w:val="00B17EAF"/>
    <w:rsid w:val="00B4121A"/>
    <w:rsid w:val="00B52576"/>
    <w:rsid w:val="00B667FF"/>
    <w:rsid w:val="00B707AA"/>
    <w:rsid w:val="00B77B2D"/>
    <w:rsid w:val="00B81E08"/>
    <w:rsid w:val="00BC14C9"/>
    <w:rsid w:val="00BE04B1"/>
    <w:rsid w:val="00C103D5"/>
    <w:rsid w:val="00C14F58"/>
    <w:rsid w:val="00C33D5B"/>
    <w:rsid w:val="00C93CFC"/>
    <w:rsid w:val="00CA5231"/>
    <w:rsid w:val="00CD711F"/>
    <w:rsid w:val="00CF3E0E"/>
    <w:rsid w:val="00CF3F4C"/>
    <w:rsid w:val="00D3182D"/>
    <w:rsid w:val="00D44088"/>
    <w:rsid w:val="00D70C81"/>
    <w:rsid w:val="00DB3099"/>
    <w:rsid w:val="00DD7496"/>
    <w:rsid w:val="00E23C9B"/>
    <w:rsid w:val="00E464D7"/>
    <w:rsid w:val="00E97E57"/>
    <w:rsid w:val="00EB0DB9"/>
    <w:rsid w:val="00EB3BB7"/>
    <w:rsid w:val="00EC6C04"/>
    <w:rsid w:val="00EE23B8"/>
    <w:rsid w:val="00EE2C5C"/>
    <w:rsid w:val="00F23506"/>
    <w:rsid w:val="00F308E9"/>
    <w:rsid w:val="00F674D7"/>
    <w:rsid w:val="00F72F2C"/>
    <w:rsid w:val="00F737FC"/>
    <w:rsid w:val="00FB4B88"/>
    <w:rsid w:val="00FF2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73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4D7"/>
    <w:rPr>
      <w:color w:val="0000FF" w:themeColor="hyperlink"/>
      <w:u w:val="single"/>
    </w:rPr>
  </w:style>
  <w:style w:type="paragraph" w:styleId="BalloonText">
    <w:name w:val="Balloon Text"/>
    <w:basedOn w:val="Normal"/>
    <w:link w:val="BalloonTextChar"/>
    <w:uiPriority w:val="99"/>
    <w:semiHidden/>
    <w:unhideWhenUsed/>
    <w:rsid w:val="00F72F2C"/>
    <w:rPr>
      <w:rFonts w:ascii="Tahoma" w:hAnsi="Tahoma" w:cs="Tahoma"/>
      <w:sz w:val="16"/>
      <w:szCs w:val="16"/>
    </w:rPr>
  </w:style>
  <w:style w:type="character" w:customStyle="1" w:styleId="BalloonTextChar">
    <w:name w:val="Balloon Text Char"/>
    <w:basedOn w:val="DefaultParagraphFont"/>
    <w:link w:val="BalloonText"/>
    <w:uiPriority w:val="99"/>
    <w:semiHidden/>
    <w:rsid w:val="00F72F2C"/>
    <w:rPr>
      <w:rFonts w:ascii="Tahoma" w:hAnsi="Tahoma" w:cs="Tahoma"/>
      <w:sz w:val="16"/>
      <w:szCs w:val="16"/>
    </w:rPr>
  </w:style>
  <w:style w:type="character" w:styleId="FollowedHyperlink">
    <w:name w:val="FollowedHyperlink"/>
    <w:basedOn w:val="DefaultParagraphFont"/>
    <w:uiPriority w:val="99"/>
    <w:semiHidden/>
    <w:unhideWhenUsed/>
    <w:rsid w:val="003B7590"/>
    <w:rPr>
      <w:color w:val="800080" w:themeColor="followedHyperlink"/>
      <w:u w:val="single"/>
    </w:rPr>
  </w:style>
  <w:style w:type="paragraph" w:styleId="Header">
    <w:name w:val="header"/>
    <w:basedOn w:val="Normal"/>
    <w:link w:val="HeaderChar"/>
    <w:uiPriority w:val="99"/>
    <w:unhideWhenUsed/>
    <w:rsid w:val="00284A1A"/>
    <w:pPr>
      <w:tabs>
        <w:tab w:val="center" w:pos="4513"/>
        <w:tab w:val="right" w:pos="9026"/>
      </w:tabs>
    </w:pPr>
  </w:style>
  <w:style w:type="character" w:customStyle="1" w:styleId="HeaderChar">
    <w:name w:val="Header Char"/>
    <w:basedOn w:val="DefaultParagraphFont"/>
    <w:link w:val="Header"/>
    <w:uiPriority w:val="99"/>
    <w:rsid w:val="00284A1A"/>
  </w:style>
  <w:style w:type="paragraph" w:styleId="Footer">
    <w:name w:val="footer"/>
    <w:basedOn w:val="Normal"/>
    <w:link w:val="FooterChar"/>
    <w:uiPriority w:val="99"/>
    <w:unhideWhenUsed/>
    <w:rsid w:val="00284A1A"/>
    <w:pPr>
      <w:tabs>
        <w:tab w:val="center" w:pos="4513"/>
        <w:tab w:val="right" w:pos="9026"/>
      </w:tabs>
    </w:pPr>
  </w:style>
  <w:style w:type="character" w:customStyle="1" w:styleId="FooterChar">
    <w:name w:val="Footer Char"/>
    <w:basedOn w:val="DefaultParagraphFont"/>
    <w:link w:val="Footer"/>
    <w:uiPriority w:val="99"/>
    <w:rsid w:val="00284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4D7"/>
    <w:rPr>
      <w:color w:val="0000FF" w:themeColor="hyperlink"/>
      <w:u w:val="single"/>
    </w:rPr>
  </w:style>
  <w:style w:type="paragraph" w:styleId="BalloonText">
    <w:name w:val="Balloon Text"/>
    <w:basedOn w:val="Normal"/>
    <w:link w:val="BalloonTextChar"/>
    <w:uiPriority w:val="99"/>
    <w:semiHidden/>
    <w:unhideWhenUsed/>
    <w:rsid w:val="00F72F2C"/>
    <w:rPr>
      <w:rFonts w:ascii="Tahoma" w:hAnsi="Tahoma" w:cs="Tahoma"/>
      <w:sz w:val="16"/>
      <w:szCs w:val="16"/>
    </w:rPr>
  </w:style>
  <w:style w:type="character" w:customStyle="1" w:styleId="BalloonTextChar">
    <w:name w:val="Balloon Text Char"/>
    <w:basedOn w:val="DefaultParagraphFont"/>
    <w:link w:val="BalloonText"/>
    <w:uiPriority w:val="99"/>
    <w:semiHidden/>
    <w:rsid w:val="00F72F2C"/>
    <w:rPr>
      <w:rFonts w:ascii="Tahoma" w:hAnsi="Tahoma" w:cs="Tahoma"/>
      <w:sz w:val="16"/>
      <w:szCs w:val="16"/>
    </w:rPr>
  </w:style>
  <w:style w:type="character" w:styleId="FollowedHyperlink">
    <w:name w:val="FollowedHyperlink"/>
    <w:basedOn w:val="DefaultParagraphFont"/>
    <w:uiPriority w:val="99"/>
    <w:semiHidden/>
    <w:unhideWhenUsed/>
    <w:rsid w:val="003B7590"/>
    <w:rPr>
      <w:color w:val="800080" w:themeColor="followedHyperlink"/>
      <w:u w:val="single"/>
    </w:rPr>
  </w:style>
  <w:style w:type="paragraph" w:styleId="Header">
    <w:name w:val="header"/>
    <w:basedOn w:val="Normal"/>
    <w:link w:val="HeaderChar"/>
    <w:uiPriority w:val="99"/>
    <w:unhideWhenUsed/>
    <w:rsid w:val="00284A1A"/>
    <w:pPr>
      <w:tabs>
        <w:tab w:val="center" w:pos="4513"/>
        <w:tab w:val="right" w:pos="9026"/>
      </w:tabs>
    </w:pPr>
  </w:style>
  <w:style w:type="character" w:customStyle="1" w:styleId="HeaderChar">
    <w:name w:val="Header Char"/>
    <w:basedOn w:val="DefaultParagraphFont"/>
    <w:link w:val="Header"/>
    <w:uiPriority w:val="99"/>
    <w:rsid w:val="00284A1A"/>
  </w:style>
  <w:style w:type="paragraph" w:styleId="Footer">
    <w:name w:val="footer"/>
    <w:basedOn w:val="Normal"/>
    <w:link w:val="FooterChar"/>
    <w:uiPriority w:val="99"/>
    <w:unhideWhenUsed/>
    <w:rsid w:val="00284A1A"/>
    <w:pPr>
      <w:tabs>
        <w:tab w:val="center" w:pos="4513"/>
        <w:tab w:val="right" w:pos="9026"/>
      </w:tabs>
    </w:pPr>
  </w:style>
  <w:style w:type="character" w:customStyle="1" w:styleId="FooterChar">
    <w:name w:val="Footer Char"/>
    <w:basedOn w:val="DefaultParagraphFont"/>
    <w:link w:val="Footer"/>
    <w:uiPriority w:val="99"/>
    <w:rsid w:val="0028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54077">
      <w:bodyDiv w:val="1"/>
      <w:marLeft w:val="0"/>
      <w:marRight w:val="0"/>
      <w:marTop w:val="0"/>
      <w:marBottom w:val="0"/>
      <w:divBdr>
        <w:top w:val="none" w:sz="0" w:space="0" w:color="auto"/>
        <w:left w:val="none" w:sz="0" w:space="0" w:color="auto"/>
        <w:bottom w:val="none" w:sz="0" w:space="0" w:color="auto"/>
        <w:right w:val="none" w:sz="0" w:space="0" w:color="auto"/>
      </w:divBdr>
      <w:divsChild>
        <w:div w:id="1567956335">
          <w:marLeft w:val="0"/>
          <w:marRight w:val="0"/>
          <w:marTop w:val="0"/>
          <w:marBottom w:val="0"/>
          <w:divBdr>
            <w:top w:val="none" w:sz="0" w:space="0" w:color="auto"/>
            <w:left w:val="none" w:sz="0" w:space="0" w:color="auto"/>
            <w:bottom w:val="none" w:sz="0" w:space="0" w:color="auto"/>
            <w:right w:val="none" w:sz="0" w:space="0" w:color="auto"/>
          </w:divBdr>
        </w:div>
        <w:div w:id="1037775376">
          <w:marLeft w:val="0"/>
          <w:marRight w:val="0"/>
          <w:marTop w:val="0"/>
          <w:marBottom w:val="0"/>
          <w:divBdr>
            <w:top w:val="none" w:sz="0" w:space="0" w:color="auto"/>
            <w:left w:val="none" w:sz="0" w:space="0" w:color="auto"/>
            <w:bottom w:val="none" w:sz="0" w:space="0" w:color="auto"/>
            <w:right w:val="none" w:sz="0" w:space="0" w:color="auto"/>
          </w:divBdr>
        </w:div>
        <w:div w:id="705325842">
          <w:marLeft w:val="0"/>
          <w:marRight w:val="0"/>
          <w:marTop w:val="0"/>
          <w:marBottom w:val="0"/>
          <w:divBdr>
            <w:top w:val="none" w:sz="0" w:space="0" w:color="auto"/>
            <w:left w:val="none" w:sz="0" w:space="0" w:color="auto"/>
            <w:bottom w:val="none" w:sz="0" w:space="0" w:color="auto"/>
            <w:right w:val="none" w:sz="0" w:space="0" w:color="auto"/>
          </w:divBdr>
        </w:div>
        <w:div w:id="844980342">
          <w:marLeft w:val="0"/>
          <w:marRight w:val="0"/>
          <w:marTop w:val="0"/>
          <w:marBottom w:val="0"/>
          <w:divBdr>
            <w:top w:val="none" w:sz="0" w:space="0" w:color="auto"/>
            <w:left w:val="none" w:sz="0" w:space="0" w:color="auto"/>
            <w:bottom w:val="none" w:sz="0" w:space="0" w:color="auto"/>
            <w:right w:val="none" w:sz="0" w:space="0" w:color="auto"/>
          </w:divBdr>
        </w:div>
      </w:divsChild>
    </w:div>
    <w:div w:id="971057467">
      <w:bodyDiv w:val="1"/>
      <w:marLeft w:val="0"/>
      <w:marRight w:val="0"/>
      <w:marTop w:val="0"/>
      <w:marBottom w:val="0"/>
      <w:divBdr>
        <w:top w:val="none" w:sz="0" w:space="0" w:color="auto"/>
        <w:left w:val="none" w:sz="0" w:space="0" w:color="auto"/>
        <w:bottom w:val="none" w:sz="0" w:space="0" w:color="auto"/>
        <w:right w:val="none" w:sz="0" w:space="0" w:color="auto"/>
      </w:divBdr>
    </w:div>
    <w:div w:id="1738092233">
      <w:bodyDiv w:val="1"/>
      <w:marLeft w:val="0"/>
      <w:marRight w:val="0"/>
      <w:marTop w:val="0"/>
      <w:marBottom w:val="0"/>
      <w:divBdr>
        <w:top w:val="none" w:sz="0" w:space="0" w:color="auto"/>
        <w:left w:val="none" w:sz="0" w:space="0" w:color="auto"/>
        <w:bottom w:val="none" w:sz="0" w:space="0" w:color="auto"/>
        <w:right w:val="none" w:sz="0" w:space="0" w:color="auto"/>
      </w:divBdr>
      <w:divsChild>
        <w:div w:id="545216099">
          <w:marLeft w:val="0"/>
          <w:marRight w:val="0"/>
          <w:marTop w:val="0"/>
          <w:marBottom w:val="0"/>
          <w:divBdr>
            <w:top w:val="none" w:sz="0" w:space="0" w:color="auto"/>
            <w:left w:val="none" w:sz="0" w:space="0" w:color="auto"/>
            <w:bottom w:val="none" w:sz="0" w:space="0" w:color="auto"/>
            <w:right w:val="none" w:sz="0" w:space="0" w:color="auto"/>
          </w:divBdr>
        </w:div>
        <w:div w:id="10871166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ofmhealth.org/michigan-model-medical-malpractice-and-patient-safety-umh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elp.senate.gov/imo/media/doc/boothman.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ed.umich.edu/news/newsroom/Boothman%20et%20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otcourts.gov.uk/search-judgments/judgment?id=a23386a6-8980-69d2-b500-ff0000d74aa7" TargetMode="External"/><Relationship Id="rId4" Type="http://schemas.openxmlformats.org/officeDocument/2006/relationships/webSettings" Target="webSettings.xml"/><Relationship Id="rId9" Type="http://schemas.openxmlformats.org/officeDocument/2006/relationships/hyperlink" Target="http://www.lawscot.org.uk/rules-and-guidance/section-f-guidance-relating-to-particular-types-of-work/division-d-court-work/advice-and-information/pre-action-protocol-in-personal-injury-cas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3459</Words>
  <Characters>19719</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Stephenson</dc:creator>
  <cp:lastModifiedBy>Gaynor Adam</cp:lastModifiedBy>
  <cp:revision>2</cp:revision>
  <cp:lastPrinted>2015-05-01T14:36:00Z</cp:lastPrinted>
  <dcterms:created xsi:type="dcterms:W3CDTF">2015-05-06T15:45:00Z</dcterms:created>
  <dcterms:modified xsi:type="dcterms:W3CDTF">2015-05-06T15:45:00Z</dcterms:modified>
</cp:coreProperties>
</file>